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9B3F" w14:textId="2533ECFC" w:rsidR="00DE73ED" w:rsidRDefault="004A5B92" w:rsidP="00E44B72">
      <w:r>
        <w:rPr>
          <w:noProof/>
        </w:rPr>
        <mc:AlternateContent>
          <mc:Choice Requires="wps">
            <w:drawing>
              <wp:anchor distT="0" distB="0" distL="114300" distR="114300" simplePos="0" relativeHeight="251666944" behindDoc="0" locked="0" layoutInCell="1" allowOverlap="1" wp14:anchorId="0E3A3775" wp14:editId="5515CE48">
                <wp:simplePos x="0" y="0"/>
                <wp:positionH relativeFrom="page">
                  <wp:align>right</wp:align>
                </wp:positionH>
                <wp:positionV relativeFrom="paragraph">
                  <wp:posOffset>5257800</wp:posOffset>
                </wp:positionV>
                <wp:extent cx="77724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4E10" w14:textId="62F6642A" w:rsidR="004A5B92" w:rsidRPr="004A5B92" w:rsidRDefault="00A13C3E" w:rsidP="004A5B92">
                            <w:pPr>
                              <w:jc w:val="center"/>
                              <w:rPr>
                                <w:rFonts w:ascii="Roboto" w:hAnsi="Roboto"/>
                                <w:b/>
                                <w:color w:val="002060"/>
                                <w:sz w:val="48"/>
                                <w:szCs w:val="16"/>
                                <w:lang w:val="en-IN"/>
                              </w:rPr>
                            </w:pPr>
                            <w:r>
                              <w:rPr>
                                <w:rFonts w:ascii="Roboto" w:hAnsi="Roboto"/>
                                <w:b/>
                                <w:color w:val="002060"/>
                                <w:sz w:val="48"/>
                                <w:szCs w:val="16"/>
                                <w:lang w:val="en-IN"/>
                              </w:rPr>
                              <w:t>Business Continuity</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A3775" id="_x0000_t202" coordsize="21600,21600" o:spt="202" path="m,l,21600r21600,l21600,xe">
                <v:stroke joinstyle="miter"/>
                <v:path gradientshapeok="t" o:connecttype="rect"/>
              </v:shapetype>
              <v:shape id="Text Box 2" o:spid="_x0000_s1026" type="#_x0000_t202" style="position:absolute;margin-left:560.8pt;margin-top:414pt;width:612pt;height:69pt;z-index:251666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" filled="f" stroked="f" strokeweight=".5pt">
                <v:textbox>
                  <w:txbxContent>
                    <w:p w14:paraId="62794E10" w14:textId="62F6642A" w:rsidR="004A5B92" w:rsidRPr="004A5B92" w:rsidRDefault="00A13C3E" w:rsidP="004A5B92">
                      <w:pPr>
                        <w:jc w:val="center"/>
                        <w:rPr>
                          <w:rFonts w:ascii="Roboto" w:hAnsi="Roboto"/>
                          <w:b/>
                          <w:color w:val="002060"/>
                          <w:sz w:val="48"/>
                          <w:szCs w:val="16"/>
                          <w:lang w:val="en-IN"/>
                        </w:rPr>
                      </w:pPr>
                      <w:r>
                        <w:rPr>
                          <w:rFonts w:ascii="Roboto" w:hAnsi="Roboto"/>
                          <w:b/>
                          <w:color w:val="002060"/>
                          <w:sz w:val="48"/>
                          <w:szCs w:val="16"/>
                          <w:lang w:val="en-IN"/>
                        </w:rPr>
                        <w:t>Business Continuity</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v:textbox>
                <w10:wrap anchorx="page"/>
              </v:shape>
            </w:pict>
          </mc:Fallback>
        </mc:AlternateContent>
      </w:r>
      <w:r w:rsidR="00AB10E5">
        <w:rPr>
          <w:noProof/>
        </w:rPr>
        <w:drawing>
          <wp:anchor distT="0" distB="0" distL="114300" distR="114300" simplePos="0" relativeHeight="251663872" behindDoc="0" locked="0" layoutInCell="1" allowOverlap="1" wp14:anchorId="52AFB931" wp14:editId="7B29F1FC">
            <wp:simplePos x="0" y="0"/>
            <wp:positionH relativeFrom="margin">
              <wp:posOffset>-1066800</wp:posOffset>
            </wp:positionH>
            <wp:positionV relativeFrom="page">
              <wp:posOffset>17145</wp:posOffset>
            </wp:positionV>
            <wp:extent cx="8052435" cy="104197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52435" cy="1041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E5" w:rsidRPr="00AB10E5">
        <w:rPr>
          <w:noProof/>
        </w:rPr>
        <w:drawing>
          <wp:inline distT="0" distB="0" distL="0" distR="0" wp14:anchorId="57906CD7" wp14:editId="7E2ECCDA">
            <wp:extent cx="5829300" cy="7543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29300" cy="7543800"/>
                    </a:xfrm>
                    <a:prstGeom prst="rect">
                      <a:avLst/>
                    </a:prstGeom>
                  </pic:spPr>
                </pic:pic>
              </a:graphicData>
            </a:graphic>
          </wp:inline>
        </w:drawing>
      </w:r>
      <w:r w:rsidR="0089189D">
        <w:rPr>
          <w:noProof/>
        </w:rPr>
        <mc:AlternateContent>
          <mc:Choice Requires="wps">
            <w:drawing>
              <wp:anchor distT="0" distB="0" distL="114300" distR="114300" simplePos="0" relativeHeight="251670016" behindDoc="0" locked="0" layoutInCell="1" allowOverlap="1" wp14:anchorId="240EAC87" wp14:editId="4CF1B5C4">
                <wp:simplePos x="0" y="0"/>
                <wp:positionH relativeFrom="margin">
                  <wp:posOffset>58420</wp:posOffset>
                </wp:positionH>
                <wp:positionV relativeFrom="paragraph">
                  <wp:posOffset>6060440</wp:posOffset>
                </wp:positionV>
                <wp:extent cx="5833640" cy="729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33640" cy="72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EAC87" id="Text Box 3" o:spid="_x0000_s1027" type="#_x0000_t202" style="position:absolute;margin-left:4.6pt;margin-top:477.2pt;width:459.35pt;height:57.4pt;z-index:251670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" filled="f" stroked="f" strokeweight=".5pt">
                <v:textbo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v:textbox>
                <w10:wrap anchorx="margin"/>
              </v:shape>
            </w:pict>
          </mc:Fallback>
        </mc:AlternateContent>
      </w:r>
      <w:r w:rsidR="0089189D">
        <w:rPr>
          <w:noProof/>
        </w:rPr>
        <mc:AlternateContent>
          <mc:Choice Requires="wps">
            <w:drawing>
              <wp:anchor distT="0" distB="0" distL="114300" distR="114300" simplePos="0" relativeHeight="251673088" behindDoc="0" locked="0" layoutInCell="1" allowOverlap="1" wp14:anchorId="55D4DC01" wp14:editId="3F5F5128">
                <wp:simplePos x="0" y="0"/>
                <wp:positionH relativeFrom="margin">
                  <wp:posOffset>1465580</wp:posOffset>
                </wp:positionH>
                <wp:positionV relativeFrom="paragraph">
                  <wp:posOffset>7522210</wp:posOffset>
                </wp:positionV>
                <wp:extent cx="3009418" cy="1192192"/>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9418" cy="119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4DC01" id="Text Box 4" o:spid="_x0000_s1028" type="#_x0000_t202" style="position:absolute;margin-left:115.4pt;margin-top:592.3pt;width:236.95pt;height:93.85pt;z-index:25167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" filled="f" stroked="f" strokeweight=".5pt">
                <v:textbo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v:textbox>
                <w10:wrap anchorx="margin"/>
              </v:shape>
            </w:pict>
          </mc:Fallback>
        </mc:AlternateContent>
      </w:r>
    </w:p>
    <w:p w14:paraId="434BBCC1" w14:textId="0BAC866F" w:rsidR="006F6848" w:rsidRPr="006F6848" w:rsidRDefault="006F6848" w:rsidP="006F6848">
      <w:pPr>
        <w:pStyle w:val="TOCHeading"/>
        <w:spacing w:after="240"/>
        <w:rPr>
          <w:rFonts w:ascii="Roboto" w:hAnsi="Roboto" w:cs="Segoe UI"/>
          <w:color w:val="283372"/>
        </w:rPr>
      </w:pPr>
      <w:bookmarkStart w:id="0" w:name="_Toc101206043"/>
      <w:r w:rsidRPr="006F6848">
        <w:rPr>
          <w:rFonts w:ascii="Roboto" w:hAnsi="Roboto" w:cs="Segoe UI"/>
          <w:color w:val="283372"/>
        </w:rPr>
        <w:lastRenderedPageBreak/>
        <w:t>Document History</w:t>
      </w:r>
      <w:bookmarkEnd w:id="0"/>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8"/>
        <w:gridCol w:w="1275"/>
        <w:gridCol w:w="3544"/>
        <w:gridCol w:w="1843"/>
        <w:gridCol w:w="1700"/>
      </w:tblGrid>
      <w:tr w:rsidR="004A5B92" w:rsidRPr="00201C28" w14:paraId="59D87F76" w14:textId="77777777" w:rsidTr="00C67474">
        <w:trPr>
          <w:cnfStyle w:val="100000000000" w:firstRow="1" w:lastRow="0" w:firstColumn="0" w:lastColumn="0" w:oddVBand="0" w:evenVBand="0" w:oddHBand="0" w:evenHBand="0" w:firstRowFirstColumn="0" w:firstRowLastColumn="0" w:lastRowFirstColumn="0" w:lastRowLastColumn="0"/>
          <w:trHeight w:val="317"/>
        </w:trPr>
        <w:tc>
          <w:tcPr>
            <w:tcW w:w="988" w:type="dxa"/>
            <w:shd w:val="clear" w:color="auto" w:fill="002060"/>
            <w:vAlign w:val="center"/>
          </w:tcPr>
          <w:p w14:paraId="0A200C17" w14:textId="77777777" w:rsidR="004A5B92" w:rsidRPr="00201C28" w:rsidRDefault="004A5B92" w:rsidP="00C67474">
            <w:pPr>
              <w:rPr>
                <w:rFonts w:ascii="Segoe UI" w:hAnsi="Segoe UI" w:cs="Segoe UI"/>
                <w:lang w:eastAsia="en-IN"/>
              </w:rPr>
            </w:pPr>
            <w:r>
              <w:rPr>
                <w:rFonts w:ascii="Segoe UI" w:hAnsi="Segoe UI" w:cs="Segoe UI"/>
                <w:lang w:eastAsia="en-IN"/>
              </w:rPr>
              <w:t>Version</w:t>
            </w:r>
          </w:p>
        </w:tc>
        <w:tc>
          <w:tcPr>
            <w:tcW w:w="1275" w:type="dxa"/>
            <w:shd w:val="clear" w:color="auto" w:fill="002060"/>
            <w:vAlign w:val="center"/>
          </w:tcPr>
          <w:p w14:paraId="0A7C9311" w14:textId="77777777" w:rsidR="004A5B92" w:rsidRPr="00201C28" w:rsidRDefault="004A5B92" w:rsidP="00C67474">
            <w:pPr>
              <w:rPr>
                <w:rFonts w:ascii="Segoe UI" w:hAnsi="Segoe UI" w:cs="Segoe UI"/>
                <w:lang w:eastAsia="en-IN"/>
              </w:rPr>
            </w:pPr>
            <w:r>
              <w:rPr>
                <w:rFonts w:ascii="Segoe UI" w:hAnsi="Segoe UI" w:cs="Segoe UI"/>
                <w:lang w:eastAsia="en-IN"/>
              </w:rPr>
              <w:t>Date</w:t>
            </w:r>
          </w:p>
        </w:tc>
        <w:tc>
          <w:tcPr>
            <w:tcW w:w="3544" w:type="dxa"/>
            <w:shd w:val="clear" w:color="auto" w:fill="002060"/>
            <w:vAlign w:val="center"/>
          </w:tcPr>
          <w:p w14:paraId="6822BC4E" w14:textId="77777777" w:rsidR="004A5B92" w:rsidRPr="00201C28" w:rsidRDefault="004A5B92" w:rsidP="00C67474">
            <w:pPr>
              <w:rPr>
                <w:rFonts w:ascii="Segoe UI" w:hAnsi="Segoe UI" w:cs="Segoe UI"/>
                <w:lang w:eastAsia="en-IN"/>
              </w:rPr>
            </w:pPr>
            <w:r>
              <w:rPr>
                <w:rFonts w:ascii="Segoe UI" w:hAnsi="Segoe UI" w:cs="Segoe UI"/>
                <w:lang w:eastAsia="en-IN"/>
              </w:rPr>
              <w:t>Summary of Changes</w:t>
            </w:r>
          </w:p>
        </w:tc>
        <w:tc>
          <w:tcPr>
            <w:tcW w:w="1843" w:type="dxa"/>
            <w:shd w:val="clear" w:color="auto" w:fill="002060"/>
            <w:vAlign w:val="center"/>
          </w:tcPr>
          <w:p w14:paraId="179EE0F8" w14:textId="77777777" w:rsidR="004A5B92" w:rsidRPr="00201C28" w:rsidRDefault="004A5B92" w:rsidP="00C67474">
            <w:pPr>
              <w:rPr>
                <w:rFonts w:ascii="Segoe UI" w:hAnsi="Segoe UI" w:cs="Segoe UI"/>
                <w:lang w:eastAsia="en-IN"/>
              </w:rPr>
            </w:pPr>
            <w:r>
              <w:rPr>
                <w:rFonts w:ascii="Segoe UI" w:hAnsi="Segoe UI" w:cs="Segoe UI"/>
                <w:lang w:eastAsia="en-IN"/>
              </w:rPr>
              <w:t>Author</w:t>
            </w:r>
          </w:p>
        </w:tc>
        <w:tc>
          <w:tcPr>
            <w:tcW w:w="1700" w:type="dxa"/>
            <w:shd w:val="clear" w:color="auto" w:fill="002060"/>
            <w:vAlign w:val="center"/>
          </w:tcPr>
          <w:p w14:paraId="45293B66" w14:textId="77777777" w:rsidR="004A5B92" w:rsidRPr="00201C28" w:rsidRDefault="004A5B92" w:rsidP="00C67474">
            <w:pPr>
              <w:rPr>
                <w:rFonts w:ascii="Segoe UI" w:hAnsi="Segoe UI" w:cs="Segoe UI"/>
                <w:lang w:eastAsia="en-IN"/>
              </w:rPr>
            </w:pPr>
            <w:r>
              <w:rPr>
                <w:rFonts w:ascii="Segoe UI" w:hAnsi="Segoe UI" w:cs="Segoe UI"/>
                <w:lang w:eastAsia="en-IN"/>
              </w:rPr>
              <w:t>Approved By</w:t>
            </w:r>
          </w:p>
        </w:tc>
      </w:tr>
      <w:tr w:rsidR="00A13910" w:rsidRPr="00201C28" w14:paraId="6A8BB19C" w14:textId="77777777" w:rsidTr="00C67474">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619EAFAD" w14:textId="1C1C96C4" w:rsidR="00A13910" w:rsidRPr="0007290C" w:rsidRDefault="00A13910" w:rsidP="00A13910">
            <w:pPr>
              <w:rPr>
                <w:rFonts w:ascii="Segoe UI" w:hAnsi="Segoe UI" w:cs="Segoe UI"/>
                <w:lang w:eastAsia="en-IN"/>
              </w:rPr>
            </w:pPr>
            <w:r w:rsidRPr="00A014B7">
              <w:t>1.0</w:t>
            </w:r>
          </w:p>
        </w:tc>
        <w:tc>
          <w:tcPr>
            <w:tcW w:w="1275" w:type="dxa"/>
          </w:tcPr>
          <w:p w14:paraId="1FC66993" w14:textId="521134F0"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10-Apr-14</w:t>
            </w:r>
          </w:p>
        </w:tc>
        <w:tc>
          <w:tcPr>
            <w:tcW w:w="3544" w:type="dxa"/>
          </w:tcPr>
          <w:p w14:paraId="19CCEB32" w14:textId="2C536115" w:rsidR="00A13910" w:rsidRPr="0007290C" w:rsidRDefault="00A13910" w:rsidP="00A13910">
            <w:pPr>
              <w:autoSpaceDE w:val="0"/>
              <w:autoSpaceDN w:val="0"/>
              <w:adjustRightInd w:val="0"/>
              <w:spacing w:after="49"/>
              <w:contextualSpacing/>
              <w:rPr>
                <w:rFonts w:ascii="Segoe UI" w:hAnsi="Segoe UI" w:cs="Segoe UI"/>
                <w:lang w:eastAsia="en-IN"/>
              </w:rPr>
            </w:pPr>
            <w:r w:rsidRPr="00A014B7">
              <w:t>Initial Document</w:t>
            </w:r>
          </w:p>
        </w:tc>
        <w:tc>
          <w:tcPr>
            <w:tcW w:w="1843" w:type="dxa"/>
          </w:tcPr>
          <w:p w14:paraId="656798E1" w14:textId="0AA31BDB"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Sujatha</w:t>
            </w:r>
          </w:p>
        </w:tc>
        <w:tc>
          <w:tcPr>
            <w:tcW w:w="1700" w:type="dxa"/>
          </w:tcPr>
          <w:p w14:paraId="5260E706" w14:textId="271DE5E4"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325D97A" w14:textId="77777777" w:rsidTr="00C67474">
        <w:trPr>
          <w:trHeight w:val="225"/>
        </w:trPr>
        <w:tc>
          <w:tcPr>
            <w:tcW w:w="988" w:type="dxa"/>
          </w:tcPr>
          <w:p w14:paraId="0C29A51C" w14:textId="164ED5F9" w:rsidR="00A13910" w:rsidRPr="0007290C" w:rsidRDefault="00A13910" w:rsidP="00A13910">
            <w:pPr>
              <w:rPr>
                <w:rFonts w:ascii="Segoe UI" w:hAnsi="Segoe UI" w:cs="Segoe UI"/>
                <w:lang w:eastAsia="en-IN"/>
              </w:rPr>
            </w:pPr>
            <w:r w:rsidRPr="00A014B7">
              <w:t>1.01</w:t>
            </w:r>
          </w:p>
        </w:tc>
        <w:tc>
          <w:tcPr>
            <w:tcW w:w="1275" w:type="dxa"/>
          </w:tcPr>
          <w:p w14:paraId="34AFEB2E" w14:textId="0C24A8CA"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1-May-17</w:t>
            </w:r>
          </w:p>
        </w:tc>
        <w:tc>
          <w:tcPr>
            <w:tcW w:w="3544" w:type="dxa"/>
          </w:tcPr>
          <w:p w14:paraId="5BDE0C8A" w14:textId="4EDF21C3" w:rsidR="00A13910" w:rsidRPr="0007290C" w:rsidRDefault="00A13910" w:rsidP="00A13910">
            <w:pPr>
              <w:autoSpaceDE w:val="0"/>
              <w:autoSpaceDN w:val="0"/>
              <w:adjustRightInd w:val="0"/>
              <w:spacing w:after="49"/>
              <w:contextualSpacing/>
              <w:rPr>
                <w:rFonts w:ascii="Segoe UI" w:hAnsi="Segoe UI" w:cs="Segoe UI"/>
                <w:lang w:eastAsia="en-IN"/>
              </w:rPr>
            </w:pPr>
            <w:r w:rsidRPr="00A014B7">
              <w:t>Change GAVS logo</w:t>
            </w:r>
          </w:p>
        </w:tc>
        <w:tc>
          <w:tcPr>
            <w:tcW w:w="1843" w:type="dxa"/>
          </w:tcPr>
          <w:p w14:paraId="7093F940" w14:textId="7F1F5E1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Emmanuel F</w:t>
            </w:r>
          </w:p>
        </w:tc>
        <w:tc>
          <w:tcPr>
            <w:tcW w:w="1700" w:type="dxa"/>
          </w:tcPr>
          <w:p w14:paraId="77CDF466" w14:textId="7623705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196EDD2" w14:textId="77777777" w:rsidTr="0082638B">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4E14F0DD" w14:textId="4801FF6B" w:rsidR="00A13910" w:rsidRPr="0007290C" w:rsidRDefault="00A13910" w:rsidP="00A13910">
            <w:pPr>
              <w:rPr>
                <w:rFonts w:ascii="Segoe UI" w:eastAsia="Calibri" w:hAnsi="Segoe UI" w:cs="Segoe UI"/>
                <w:lang w:val="en-IN"/>
              </w:rPr>
            </w:pPr>
            <w:r w:rsidRPr="00A014B7">
              <w:t>2.0</w:t>
            </w:r>
          </w:p>
        </w:tc>
        <w:tc>
          <w:tcPr>
            <w:tcW w:w="1275" w:type="dxa"/>
          </w:tcPr>
          <w:p w14:paraId="14693C6F" w14:textId="01964DD6"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20-Jan-23</w:t>
            </w:r>
          </w:p>
        </w:tc>
        <w:tc>
          <w:tcPr>
            <w:tcW w:w="3544" w:type="dxa"/>
          </w:tcPr>
          <w:p w14:paraId="24402240" w14:textId="4977D03F"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Revised Policy Statements (section 5.0)</w:t>
            </w:r>
          </w:p>
        </w:tc>
        <w:tc>
          <w:tcPr>
            <w:tcW w:w="1843" w:type="dxa"/>
          </w:tcPr>
          <w:p w14:paraId="4B6EC65E" w14:textId="17D6C11A"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Gouri Mahendru</w:t>
            </w:r>
          </w:p>
        </w:tc>
        <w:tc>
          <w:tcPr>
            <w:tcW w:w="1700" w:type="dxa"/>
          </w:tcPr>
          <w:p w14:paraId="73BCEB2C" w14:textId="30857B74" w:rsidR="00A13910" w:rsidRPr="0007290C" w:rsidRDefault="00A13910" w:rsidP="00A13910">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r w:rsidR="004A5B92" w:rsidRPr="00201C28" w14:paraId="5002DE70" w14:textId="77777777" w:rsidTr="00C67474">
        <w:trPr>
          <w:trHeight w:val="225"/>
        </w:trPr>
        <w:tc>
          <w:tcPr>
            <w:tcW w:w="988" w:type="dxa"/>
            <w:vAlign w:val="center"/>
          </w:tcPr>
          <w:p w14:paraId="062E6E6E" w14:textId="5BA8DFA8" w:rsidR="004A5B92" w:rsidRPr="0007290C" w:rsidRDefault="00A13910" w:rsidP="00C67474">
            <w:pPr>
              <w:rPr>
                <w:rFonts w:ascii="Segoe UI" w:eastAsia="Calibri" w:hAnsi="Segoe UI" w:cs="Segoe UI"/>
                <w:lang w:val="en-IN"/>
              </w:rPr>
            </w:pPr>
            <w:r>
              <w:rPr>
                <w:rFonts w:ascii="Segoe UI" w:eastAsia="Calibri" w:hAnsi="Segoe UI" w:cs="Segoe UI"/>
                <w:lang w:val="en-IN"/>
              </w:rPr>
              <w:t>2.1</w:t>
            </w:r>
          </w:p>
        </w:tc>
        <w:tc>
          <w:tcPr>
            <w:tcW w:w="1275" w:type="dxa"/>
            <w:vAlign w:val="center"/>
          </w:tcPr>
          <w:p w14:paraId="3E4F1CF8" w14:textId="64E70E8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16-Mar-23</w:t>
            </w:r>
          </w:p>
        </w:tc>
        <w:tc>
          <w:tcPr>
            <w:tcW w:w="3544" w:type="dxa"/>
            <w:vAlign w:val="center"/>
          </w:tcPr>
          <w:p w14:paraId="7C1739F8" w14:textId="4ABD7EBC"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Updated as per new GS Lab | GAVS document format</w:t>
            </w:r>
          </w:p>
        </w:tc>
        <w:tc>
          <w:tcPr>
            <w:tcW w:w="1843" w:type="dxa"/>
            <w:vAlign w:val="center"/>
          </w:tcPr>
          <w:p w14:paraId="2217E42B" w14:textId="04FACCFA" w:rsidR="004A5B92" w:rsidRPr="0007290C" w:rsidRDefault="00A13910" w:rsidP="00C67474">
            <w:pPr>
              <w:autoSpaceDE w:val="0"/>
              <w:autoSpaceDN w:val="0"/>
              <w:adjustRightInd w:val="0"/>
              <w:spacing w:after="49"/>
              <w:contextualSpacing/>
              <w:rPr>
                <w:rFonts w:ascii="Segoe UI" w:eastAsia="Calibri" w:hAnsi="Segoe UI" w:cs="Segoe UI"/>
                <w:lang w:val="en-IN"/>
              </w:rPr>
            </w:pPr>
            <w:r w:rsidRPr="00A13910">
              <w:rPr>
                <w:rFonts w:ascii="Segoe UI" w:eastAsia="Calibri" w:hAnsi="Segoe UI" w:cs="Segoe UI"/>
                <w:lang w:val="en-IN"/>
              </w:rPr>
              <w:t>Gouri Mahendru</w:t>
            </w:r>
          </w:p>
        </w:tc>
        <w:tc>
          <w:tcPr>
            <w:tcW w:w="1700" w:type="dxa"/>
            <w:vAlign w:val="center"/>
          </w:tcPr>
          <w:p w14:paraId="09990FE1" w14:textId="4606753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bl>
    <w:p w14:paraId="0714574B" w14:textId="72B1D771" w:rsidR="006F6848" w:rsidRDefault="006F6848">
      <w:pPr>
        <w:rPr>
          <w:rFonts w:ascii="Segoe UI" w:hAnsi="Segoe UI" w:cs="Segoe UI"/>
          <w:b/>
        </w:rPr>
      </w:pPr>
    </w:p>
    <w:tbl>
      <w:tblPr>
        <w:tblStyle w:val="TableGridLight1"/>
        <w:tblpPr w:leftFromText="180" w:rightFromText="180" w:vertAnchor="text" w:horzAnchor="margin" w:tblpY="1446"/>
        <w:tblW w:w="9445" w:type="dxa"/>
        <w:tblLook w:val="04A0" w:firstRow="1" w:lastRow="0" w:firstColumn="1" w:lastColumn="0" w:noHBand="0" w:noVBand="1"/>
      </w:tblPr>
      <w:tblGrid>
        <w:gridCol w:w="9445"/>
      </w:tblGrid>
      <w:tr w:rsidR="006F6848" w:rsidRPr="000067FD" w14:paraId="6B7468CD" w14:textId="77777777" w:rsidTr="0058324C">
        <w:trPr>
          <w:trHeight w:val="422"/>
        </w:trPr>
        <w:tc>
          <w:tcPr>
            <w:tcW w:w="9445" w:type="dxa"/>
            <w:shd w:val="clear" w:color="auto" w:fill="002060"/>
            <w:vAlign w:val="center"/>
          </w:tcPr>
          <w:p w14:paraId="59534B16" w14:textId="77777777" w:rsidR="006F6848" w:rsidRPr="000067FD" w:rsidRDefault="006F6848" w:rsidP="006F6848">
            <w:pPr>
              <w:pStyle w:val="TOCHeading"/>
              <w:spacing w:after="240"/>
              <w:rPr>
                <w:b/>
                <w:color w:val="FFFFFF" w:themeColor="background1"/>
                <w:sz w:val="24"/>
                <w:szCs w:val="24"/>
              </w:rPr>
            </w:pPr>
            <w:r w:rsidRPr="006F6848">
              <w:rPr>
                <w:rFonts w:ascii="Roboto" w:hAnsi="Roboto" w:cs="Segoe UI"/>
                <w:color w:val="FFFFFF" w:themeColor="background1"/>
              </w:rPr>
              <w:t>Statement of Confidentiality</w:t>
            </w:r>
          </w:p>
        </w:tc>
      </w:tr>
      <w:tr w:rsidR="006F6848" w:rsidRPr="000067FD" w14:paraId="59AB1B3B" w14:textId="77777777" w:rsidTr="0058324C">
        <w:tc>
          <w:tcPr>
            <w:tcW w:w="9445" w:type="dxa"/>
            <w:shd w:val="clear" w:color="auto" w:fill="F2F2F2" w:themeFill="background1" w:themeFillShade="F2"/>
          </w:tcPr>
          <w:p w14:paraId="6BE56A32" w14:textId="77777777" w:rsidR="006F6848" w:rsidRDefault="006F6848" w:rsidP="0058324C">
            <w:pPr>
              <w:rPr>
                <w:rFonts w:ascii="Calibri" w:eastAsia="Times New Roman" w:hAnsi="Calibri"/>
                <w:color w:val="000000" w:themeColor="text1"/>
                <w:kern w:val="24"/>
                <w:lang w:val="en-IN"/>
              </w:rPr>
            </w:pPr>
          </w:p>
          <w:p w14:paraId="5DE378B9"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This GS Lab (Great Software Laboratory) and/or GAVS (GAVS Technologies) artefact and/or document and/or presentation is strictly confidential. It contains proprietary information intended only for recipients. </w:t>
            </w:r>
          </w:p>
          <w:p w14:paraId="2D3CA3A1" w14:textId="77777777" w:rsidR="00C25534" w:rsidRDefault="00C25534" w:rsidP="00FA6B2F">
            <w:pPr>
              <w:rPr>
                <w:rFonts w:ascii="Segoe UI" w:eastAsia="Times New Roman" w:hAnsi="Segoe UI" w:cs="Segoe UI"/>
                <w:color w:val="000000" w:themeColor="text1"/>
                <w:kern w:val="24"/>
                <w:sz w:val="20"/>
                <w:szCs w:val="20"/>
              </w:rPr>
            </w:pPr>
          </w:p>
          <w:p w14:paraId="661AAE83" w14:textId="7A9B2739"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The recipient acknowledges and agrees that: (i) this artefact and/or document is not intended to be distributed ii) the recipient does not have the right to implement, copy, reproduce, fax, publicly divulge, or further distribute it, in whole or in part in any form, without seeking the express written permission from GS Lab and GAVS. </w:t>
            </w:r>
          </w:p>
          <w:p w14:paraId="78CB0CAA" w14:textId="77777777" w:rsidR="00C25534" w:rsidRDefault="00C25534" w:rsidP="00FA6B2F">
            <w:pPr>
              <w:rPr>
                <w:rFonts w:ascii="Segoe UI" w:eastAsia="Times New Roman" w:hAnsi="Segoe UI" w:cs="Segoe UI"/>
                <w:color w:val="000000" w:themeColor="text1"/>
                <w:kern w:val="24"/>
                <w:sz w:val="20"/>
                <w:szCs w:val="20"/>
              </w:rPr>
            </w:pPr>
          </w:p>
          <w:p w14:paraId="5789585D"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Any unauthorized use of the contents of this artefact and/or document and/or presentation in any manner whatsoever, is strictly prohibited. The artefact and/or document and/or presentation represents GS Lab’s and/ or GAVS’s current product offerings and best practices which are subject to change without notice. Please note that GS Lab and GAVS collaborate in relation to some of its offerings. </w:t>
            </w:r>
          </w:p>
          <w:p w14:paraId="37B49B17" w14:textId="77777777" w:rsidR="00C25534" w:rsidRDefault="00C25534" w:rsidP="00FA6B2F">
            <w:pPr>
              <w:rPr>
                <w:rFonts w:ascii="Segoe UI" w:eastAsia="Times New Roman" w:hAnsi="Segoe UI" w:cs="Segoe UI"/>
                <w:color w:val="000000" w:themeColor="text1"/>
                <w:kern w:val="24"/>
                <w:sz w:val="20"/>
                <w:szCs w:val="20"/>
              </w:rPr>
            </w:pPr>
          </w:p>
          <w:p w14:paraId="3CAEC1DC" w14:textId="77777777" w:rsidR="006F6848"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All third-party trademarks used herein belong to their respective owners and may be protected by law. This artefact and/or document and/or presentation only refers to such trademarks under the doctrines of nominative and descriptive fair usage to illustrate and explain concepts without implying violation of any legal constraints. If improper activity is suspected, all available information may be used by GS Lab and /or GAVS for any remedy or for lawful purpose.</w:t>
            </w:r>
          </w:p>
          <w:p w14:paraId="4D5BE69E" w14:textId="3D1DD630" w:rsidR="004A5B92" w:rsidRPr="000067FD" w:rsidRDefault="004A5B92" w:rsidP="00FA6B2F">
            <w:pPr>
              <w:rPr>
                <w:b/>
                <w:color w:val="FFFFFF" w:themeColor="background1"/>
                <w:sz w:val="24"/>
                <w:szCs w:val="24"/>
              </w:rPr>
            </w:pPr>
          </w:p>
        </w:tc>
      </w:tr>
    </w:tbl>
    <w:p w14:paraId="67785D60" w14:textId="5E17FC95" w:rsidR="006F6848" w:rsidRDefault="006F6848">
      <w:pPr>
        <w:rPr>
          <w:rFonts w:ascii="Segoe UI" w:hAnsi="Segoe UI" w:cs="Segoe UI"/>
          <w:b/>
        </w:rPr>
      </w:pPr>
      <w:r>
        <w:rPr>
          <w:rFonts w:ascii="Segoe UI" w:hAnsi="Segoe UI" w:cs="Segoe UI"/>
          <w:b/>
        </w:rPr>
        <w:br w:type="page"/>
      </w:r>
    </w:p>
    <w:sdt>
      <w:sdtPr>
        <w:rPr>
          <w:rFonts w:ascii="Segoe UI" w:eastAsiaTheme="minorHAnsi" w:hAnsi="Segoe UI" w:cs="Segoe UI"/>
          <w:color w:val="auto"/>
          <w:sz w:val="20"/>
          <w:szCs w:val="20"/>
        </w:rPr>
        <w:id w:val="1223021249"/>
        <w:docPartObj>
          <w:docPartGallery w:val="Table of Contents"/>
          <w:docPartUnique/>
        </w:docPartObj>
      </w:sdtPr>
      <w:sdtEndPr>
        <w:rPr>
          <w:b/>
          <w:bCs/>
          <w:noProof/>
        </w:rPr>
      </w:sdtEndPr>
      <w:sdtContent>
        <w:p w14:paraId="757CC02B" w14:textId="775CD589" w:rsidR="00E47EC0" w:rsidRPr="002C75CC" w:rsidRDefault="004A5B92" w:rsidP="00E47EC0">
          <w:pPr>
            <w:pStyle w:val="TOCHeading"/>
            <w:spacing w:after="240"/>
            <w:rPr>
              <w:rFonts w:ascii="Roboto" w:hAnsi="Roboto" w:cs="Segoe UI"/>
              <w:color w:val="283372"/>
            </w:rPr>
          </w:pPr>
          <w:r>
            <w:rPr>
              <w:rFonts w:ascii="Roboto" w:hAnsi="Roboto" w:cs="Segoe UI"/>
              <w:color w:val="283372"/>
            </w:rPr>
            <w:t>Table of C</w:t>
          </w:r>
          <w:r w:rsidR="00E47EC0" w:rsidRPr="002C75CC">
            <w:rPr>
              <w:rFonts w:ascii="Roboto" w:hAnsi="Roboto" w:cs="Segoe UI"/>
              <w:color w:val="283372"/>
            </w:rPr>
            <w:t>ontents</w:t>
          </w:r>
        </w:p>
        <w:p w14:paraId="68D9EAE7" w14:textId="165A9A0E" w:rsidR="00A13C3E" w:rsidRDefault="00E47EC0">
          <w:pPr>
            <w:pStyle w:val="TOC2"/>
            <w:tabs>
              <w:tab w:val="left" w:pos="600"/>
              <w:tab w:val="right" w:leader="dot" w:pos="9350"/>
            </w:tabs>
            <w:rPr>
              <w:rFonts w:asciiTheme="minorHAnsi" w:eastAsiaTheme="minorEastAsia" w:hAnsiTheme="minorHAnsi" w:cstheme="minorBidi"/>
              <w:noProof/>
              <w:sz w:val="22"/>
              <w:szCs w:val="22"/>
              <w:lang w:val="en-IN" w:eastAsia="en-IN"/>
            </w:rPr>
          </w:pPr>
          <w:r w:rsidRPr="002C75CC">
            <w:rPr>
              <w:rFonts w:ascii="Segoe UI" w:hAnsi="Segoe UI" w:cs="Segoe UI"/>
              <w:b/>
              <w:bCs/>
              <w:noProof/>
            </w:rPr>
            <w:fldChar w:fldCharType="begin"/>
          </w:r>
          <w:r w:rsidRPr="002C75CC">
            <w:rPr>
              <w:rFonts w:ascii="Segoe UI" w:hAnsi="Segoe UI" w:cs="Segoe UI"/>
              <w:b/>
              <w:bCs/>
              <w:noProof/>
            </w:rPr>
            <w:instrText xml:space="preserve"> TOC \o "1-3" \h \z \u </w:instrText>
          </w:r>
          <w:r w:rsidRPr="002C75CC">
            <w:rPr>
              <w:rFonts w:ascii="Segoe UI" w:hAnsi="Segoe UI" w:cs="Segoe UI"/>
              <w:b/>
              <w:bCs/>
              <w:noProof/>
            </w:rPr>
            <w:fldChar w:fldCharType="separate"/>
          </w:r>
          <w:hyperlink w:anchor="_Toc130468625" w:history="1">
            <w:r w:rsidR="00A13C3E" w:rsidRPr="009D2040">
              <w:rPr>
                <w:rStyle w:val="Hyperlink"/>
                <w:rFonts w:ascii="Roboto" w:hAnsi="Roboto"/>
                <w:b/>
                <w:bCs/>
                <w:noProof/>
              </w:rPr>
              <w:t>1.</w:t>
            </w:r>
            <w:r w:rsidR="00A13C3E">
              <w:rPr>
                <w:rFonts w:asciiTheme="minorHAnsi" w:eastAsiaTheme="minorEastAsia" w:hAnsiTheme="minorHAnsi" w:cstheme="minorBidi"/>
                <w:noProof/>
                <w:sz w:val="22"/>
                <w:szCs w:val="22"/>
                <w:lang w:val="en-IN" w:eastAsia="en-IN"/>
              </w:rPr>
              <w:tab/>
            </w:r>
            <w:r w:rsidR="00A13C3E" w:rsidRPr="009D2040">
              <w:rPr>
                <w:rStyle w:val="Hyperlink"/>
                <w:rFonts w:ascii="Roboto" w:hAnsi="Roboto"/>
                <w:b/>
                <w:noProof/>
              </w:rPr>
              <w:t>Purpose</w:t>
            </w:r>
            <w:r w:rsidR="00A13C3E">
              <w:rPr>
                <w:noProof/>
                <w:webHidden/>
              </w:rPr>
              <w:tab/>
            </w:r>
            <w:r w:rsidR="00A13C3E">
              <w:rPr>
                <w:noProof/>
                <w:webHidden/>
              </w:rPr>
              <w:fldChar w:fldCharType="begin"/>
            </w:r>
            <w:r w:rsidR="00A13C3E">
              <w:rPr>
                <w:noProof/>
                <w:webHidden/>
              </w:rPr>
              <w:instrText xml:space="preserve"> PAGEREF _Toc130468625 \h </w:instrText>
            </w:r>
            <w:r w:rsidR="00A13C3E">
              <w:rPr>
                <w:noProof/>
                <w:webHidden/>
              </w:rPr>
            </w:r>
            <w:r w:rsidR="00A13C3E">
              <w:rPr>
                <w:noProof/>
                <w:webHidden/>
              </w:rPr>
              <w:fldChar w:fldCharType="separate"/>
            </w:r>
            <w:r w:rsidR="00A13C3E">
              <w:rPr>
                <w:noProof/>
                <w:webHidden/>
              </w:rPr>
              <w:t>4</w:t>
            </w:r>
            <w:r w:rsidR="00A13C3E">
              <w:rPr>
                <w:noProof/>
                <w:webHidden/>
              </w:rPr>
              <w:fldChar w:fldCharType="end"/>
            </w:r>
          </w:hyperlink>
        </w:p>
        <w:p w14:paraId="0B1583E0" w14:textId="5D685FF2" w:rsidR="00A13C3E" w:rsidRDefault="00A13C3E">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8626" w:history="1">
            <w:r w:rsidRPr="009D2040">
              <w:rPr>
                <w:rStyle w:val="Hyperlink"/>
                <w:rFonts w:ascii="Roboto" w:hAnsi="Roboto"/>
                <w:b/>
                <w:bCs/>
                <w:noProof/>
              </w:rPr>
              <w:t>2.</w:t>
            </w:r>
            <w:r>
              <w:rPr>
                <w:rFonts w:asciiTheme="minorHAnsi" w:eastAsiaTheme="minorEastAsia" w:hAnsiTheme="minorHAnsi" w:cstheme="minorBidi"/>
                <w:noProof/>
                <w:sz w:val="22"/>
                <w:szCs w:val="22"/>
                <w:lang w:val="en-IN" w:eastAsia="en-IN"/>
              </w:rPr>
              <w:tab/>
            </w:r>
            <w:r w:rsidRPr="009D2040">
              <w:rPr>
                <w:rStyle w:val="Hyperlink"/>
                <w:rFonts w:ascii="Roboto" w:hAnsi="Roboto"/>
                <w:b/>
                <w:noProof/>
              </w:rPr>
              <w:t>Scope</w:t>
            </w:r>
            <w:r>
              <w:rPr>
                <w:noProof/>
                <w:webHidden/>
              </w:rPr>
              <w:tab/>
            </w:r>
            <w:r>
              <w:rPr>
                <w:noProof/>
                <w:webHidden/>
              </w:rPr>
              <w:fldChar w:fldCharType="begin"/>
            </w:r>
            <w:r>
              <w:rPr>
                <w:noProof/>
                <w:webHidden/>
              </w:rPr>
              <w:instrText xml:space="preserve"> PAGEREF _Toc130468626 \h </w:instrText>
            </w:r>
            <w:r>
              <w:rPr>
                <w:noProof/>
                <w:webHidden/>
              </w:rPr>
            </w:r>
            <w:r>
              <w:rPr>
                <w:noProof/>
                <w:webHidden/>
              </w:rPr>
              <w:fldChar w:fldCharType="separate"/>
            </w:r>
            <w:r>
              <w:rPr>
                <w:noProof/>
                <w:webHidden/>
              </w:rPr>
              <w:t>4</w:t>
            </w:r>
            <w:r>
              <w:rPr>
                <w:noProof/>
                <w:webHidden/>
              </w:rPr>
              <w:fldChar w:fldCharType="end"/>
            </w:r>
          </w:hyperlink>
        </w:p>
        <w:p w14:paraId="5370E7B0" w14:textId="04AB7243" w:rsidR="00A13C3E" w:rsidRDefault="00A13C3E">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8627" w:history="1">
            <w:r w:rsidRPr="009D2040">
              <w:rPr>
                <w:rStyle w:val="Hyperlink"/>
                <w:rFonts w:ascii="Roboto" w:hAnsi="Roboto"/>
                <w:b/>
                <w:bCs/>
                <w:noProof/>
              </w:rPr>
              <w:t>3.</w:t>
            </w:r>
            <w:r>
              <w:rPr>
                <w:rFonts w:asciiTheme="minorHAnsi" w:eastAsiaTheme="minorEastAsia" w:hAnsiTheme="minorHAnsi" w:cstheme="minorBidi"/>
                <w:noProof/>
                <w:sz w:val="22"/>
                <w:szCs w:val="22"/>
                <w:lang w:val="en-IN" w:eastAsia="en-IN"/>
              </w:rPr>
              <w:tab/>
            </w:r>
            <w:r w:rsidRPr="009D2040">
              <w:rPr>
                <w:rStyle w:val="Hyperlink"/>
                <w:rFonts w:ascii="Roboto" w:hAnsi="Roboto"/>
                <w:b/>
                <w:noProof/>
              </w:rPr>
              <w:t>Definitions</w:t>
            </w:r>
            <w:r>
              <w:rPr>
                <w:noProof/>
                <w:webHidden/>
              </w:rPr>
              <w:tab/>
            </w:r>
            <w:r>
              <w:rPr>
                <w:noProof/>
                <w:webHidden/>
              </w:rPr>
              <w:fldChar w:fldCharType="begin"/>
            </w:r>
            <w:r>
              <w:rPr>
                <w:noProof/>
                <w:webHidden/>
              </w:rPr>
              <w:instrText xml:space="preserve"> PAGEREF _Toc130468627 \h </w:instrText>
            </w:r>
            <w:r>
              <w:rPr>
                <w:noProof/>
                <w:webHidden/>
              </w:rPr>
            </w:r>
            <w:r>
              <w:rPr>
                <w:noProof/>
                <w:webHidden/>
              </w:rPr>
              <w:fldChar w:fldCharType="separate"/>
            </w:r>
            <w:r>
              <w:rPr>
                <w:noProof/>
                <w:webHidden/>
              </w:rPr>
              <w:t>4</w:t>
            </w:r>
            <w:r>
              <w:rPr>
                <w:noProof/>
                <w:webHidden/>
              </w:rPr>
              <w:fldChar w:fldCharType="end"/>
            </w:r>
          </w:hyperlink>
        </w:p>
        <w:p w14:paraId="2D75376F" w14:textId="75FC2C22" w:rsidR="00A13C3E" w:rsidRDefault="00A13C3E">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8628" w:history="1">
            <w:r w:rsidRPr="009D2040">
              <w:rPr>
                <w:rStyle w:val="Hyperlink"/>
                <w:rFonts w:ascii="Roboto" w:hAnsi="Roboto"/>
                <w:b/>
                <w:bCs/>
                <w:noProof/>
              </w:rPr>
              <w:t>4.</w:t>
            </w:r>
            <w:r>
              <w:rPr>
                <w:rFonts w:asciiTheme="minorHAnsi" w:eastAsiaTheme="minorEastAsia" w:hAnsiTheme="minorHAnsi" w:cstheme="minorBidi"/>
                <w:noProof/>
                <w:sz w:val="22"/>
                <w:szCs w:val="22"/>
                <w:lang w:val="en-IN" w:eastAsia="en-IN"/>
              </w:rPr>
              <w:tab/>
            </w:r>
            <w:r w:rsidRPr="009D2040">
              <w:rPr>
                <w:rStyle w:val="Hyperlink"/>
                <w:rFonts w:ascii="Roboto" w:hAnsi="Roboto"/>
                <w:b/>
                <w:noProof/>
              </w:rPr>
              <w:t>Definitions</w:t>
            </w:r>
            <w:r>
              <w:rPr>
                <w:noProof/>
                <w:webHidden/>
              </w:rPr>
              <w:tab/>
            </w:r>
            <w:r>
              <w:rPr>
                <w:noProof/>
                <w:webHidden/>
              </w:rPr>
              <w:fldChar w:fldCharType="begin"/>
            </w:r>
            <w:r>
              <w:rPr>
                <w:noProof/>
                <w:webHidden/>
              </w:rPr>
              <w:instrText xml:space="preserve"> PAGEREF _Toc130468628 \h </w:instrText>
            </w:r>
            <w:r>
              <w:rPr>
                <w:noProof/>
                <w:webHidden/>
              </w:rPr>
            </w:r>
            <w:r>
              <w:rPr>
                <w:noProof/>
                <w:webHidden/>
              </w:rPr>
              <w:fldChar w:fldCharType="separate"/>
            </w:r>
            <w:r>
              <w:rPr>
                <w:noProof/>
                <w:webHidden/>
              </w:rPr>
              <w:t>5</w:t>
            </w:r>
            <w:r>
              <w:rPr>
                <w:noProof/>
                <w:webHidden/>
              </w:rPr>
              <w:fldChar w:fldCharType="end"/>
            </w:r>
          </w:hyperlink>
        </w:p>
        <w:p w14:paraId="04DC77C4" w14:textId="4E87250D" w:rsidR="00A13C3E" w:rsidRDefault="00A13C3E">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8629" w:history="1">
            <w:r w:rsidRPr="009D2040">
              <w:rPr>
                <w:rStyle w:val="Hyperlink"/>
                <w:rFonts w:ascii="Roboto" w:hAnsi="Roboto"/>
                <w:b/>
                <w:bCs/>
                <w:noProof/>
              </w:rPr>
              <w:t>5.</w:t>
            </w:r>
            <w:r>
              <w:rPr>
                <w:rFonts w:asciiTheme="minorHAnsi" w:eastAsiaTheme="minorEastAsia" w:hAnsiTheme="minorHAnsi" w:cstheme="minorBidi"/>
                <w:noProof/>
                <w:sz w:val="22"/>
                <w:szCs w:val="22"/>
                <w:lang w:val="en-IN" w:eastAsia="en-IN"/>
              </w:rPr>
              <w:tab/>
            </w:r>
            <w:r w:rsidRPr="009D2040">
              <w:rPr>
                <w:rStyle w:val="Hyperlink"/>
                <w:rFonts w:ascii="Roboto" w:hAnsi="Roboto"/>
                <w:b/>
                <w:noProof/>
              </w:rPr>
              <w:t>Applicable Laws, Regulations, and Industry Standards</w:t>
            </w:r>
            <w:r>
              <w:rPr>
                <w:noProof/>
                <w:webHidden/>
              </w:rPr>
              <w:tab/>
            </w:r>
            <w:r>
              <w:rPr>
                <w:noProof/>
                <w:webHidden/>
              </w:rPr>
              <w:fldChar w:fldCharType="begin"/>
            </w:r>
            <w:r>
              <w:rPr>
                <w:noProof/>
                <w:webHidden/>
              </w:rPr>
              <w:instrText xml:space="preserve"> PAGEREF _Toc130468629 \h </w:instrText>
            </w:r>
            <w:r>
              <w:rPr>
                <w:noProof/>
                <w:webHidden/>
              </w:rPr>
            </w:r>
            <w:r>
              <w:rPr>
                <w:noProof/>
                <w:webHidden/>
              </w:rPr>
              <w:fldChar w:fldCharType="separate"/>
            </w:r>
            <w:r>
              <w:rPr>
                <w:noProof/>
                <w:webHidden/>
              </w:rPr>
              <w:t>5</w:t>
            </w:r>
            <w:r>
              <w:rPr>
                <w:noProof/>
                <w:webHidden/>
              </w:rPr>
              <w:fldChar w:fldCharType="end"/>
            </w:r>
          </w:hyperlink>
        </w:p>
        <w:p w14:paraId="18EB56E6" w14:textId="03380FFB" w:rsidR="00A13C3E" w:rsidRDefault="00A13C3E">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8630" w:history="1">
            <w:r w:rsidRPr="009D2040">
              <w:rPr>
                <w:rStyle w:val="Hyperlink"/>
                <w:rFonts w:ascii="Roboto" w:hAnsi="Roboto"/>
                <w:b/>
                <w:bCs/>
                <w:noProof/>
              </w:rPr>
              <w:t>6.</w:t>
            </w:r>
            <w:r>
              <w:rPr>
                <w:rFonts w:asciiTheme="minorHAnsi" w:eastAsiaTheme="minorEastAsia" w:hAnsiTheme="minorHAnsi" w:cstheme="minorBidi"/>
                <w:noProof/>
                <w:sz w:val="22"/>
                <w:szCs w:val="22"/>
                <w:lang w:val="en-IN" w:eastAsia="en-IN"/>
              </w:rPr>
              <w:tab/>
            </w:r>
            <w:r w:rsidRPr="009D2040">
              <w:rPr>
                <w:rStyle w:val="Hyperlink"/>
                <w:rFonts w:ascii="Roboto" w:hAnsi="Roboto"/>
                <w:b/>
                <w:noProof/>
              </w:rPr>
              <w:t>Policy Statements</w:t>
            </w:r>
            <w:r>
              <w:rPr>
                <w:noProof/>
                <w:webHidden/>
              </w:rPr>
              <w:tab/>
            </w:r>
            <w:r>
              <w:rPr>
                <w:noProof/>
                <w:webHidden/>
              </w:rPr>
              <w:fldChar w:fldCharType="begin"/>
            </w:r>
            <w:r>
              <w:rPr>
                <w:noProof/>
                <w:webHidden/>
              </w:rPr>
              <w:instrText xml:space="preserve"> PAGEREF _Toc130468630 \h </w:instrText>
            </w:r>
            <w:r>
              <w:rPr>
                <w:noProof/>
                <w:webHidden/>
              </w:rPr>
            </w:r>
            <w:r>
              <w:rPr>
                <w:noProof/>
                <w:webHidden/>
              </w:rPr>
              <w:fldChar w:fldCharType="separate"/>
            </w:r>
            <w:r>
              <w:rPr>
                <w:noProof/>
                <w:webHidden/>
              </w:rPr>
              <w:t>5</w:t>
            </w:r>
            <w:r>
              <w:rPr>
                <w:noProof/>
                <w:webHidden/>
              </w:rPr>
              <w:fldChar w:fldCharType="end"/>
            </w:r>
          </w:hyperlink>
        </w:p>
        <w:p w14:paraId="17716DFA" w14:textId="784EACAB" w:rsidR="00A13C3E" w:rsidRDefault="00A13C3E">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8631" w:history="1">
            <w:r w:rsidRPr="009D2040">
              <w:rPr>
                <w:rStyle w:val="Hyperlink"/>
                <w:rFonts w:ascii="Roboto" w:hAnsi="Roboto"/>
                <w:b/>
                <w:bCs/>
                <w:noProof/>
              </w:rPr>
              <w:t>7.</w:t>
            </w:r>
            <w:r>
              <w:rPr>
                <w:rFonts w:asciiTheme="minorHAnsi" w:eastAsiaTheme="minorEastAsia" w:hAnsiTheme="minorHAnsi" w:cstheme="minorBidi"/>
                <w:noProof/>
                <w:sz w:val="22"/>
                <w:szCs w:val="22"/>
                <w:lang w:val="en-IN" w:eastAsia="en-IN"/>
              </w:rPr>
              <w:tab/>
            </w:r>
            <w:r w:rsidRPr="009D2040">
              <w:rPr>
                <w:rStyle w:val="Hyperlink"/>
                <w:rFonts w:ascii="Roboto" w:hAnsi="Roboto"/>
                <w:b/>
                <w:noProof/>
              </w:rPr>
              <w:t>Roles and Responsibilities</w:t>
            </w:r>
            <w:r>
              <w:rPr>
                <w:noProof/>
                <w:webHidden/>
              </w:rPr>
              <w:tab/>
            </w:r>
            <w:r>
              <w:rPr>
                <w:noProof/>
                <w:webHidden/>
              </w:rPr>
              <w:fldChar w:fldCharType="begin"/>
            </w:r>
            <w:r>
              <w:rPr>
                <w:noProof/>
                <w:webHidden/>
              </w:rPr>
              <w:instrText xml:space="preserve"> PAGEREF _Toc130468631 \h </w:instrText>
            </w:r>
            <w:r>
              <w:rPr>
                <w:noProof/>
                <w:webHidden/>
              </w:rPr>
            </w:r>
            <w:r>
              <w:rPr>
                <w:noProof/>
                <w:webHidden/>
              </w:rPr>
              <w:fldChar w:fldCharType="separate"/>
            </w:r>
            <w:r>
              <w:rPr>
                <w:noProof/>
                <w:webHidden/>
              </w:rPr>
              <w:t>6</w:t>
            </w:r>
            <w:r>
              <w:rPr>
                <w:noProof/>
                <w:webHidden/>
              </w:rPr>
              <w:fldChar w:fldCharType="end"/>
            </w:r>
          </w:hyperlink>
        </w:p>
        <w:p w14:paraId="7594E10A" w14:textId="5AB66B98" w:rsidR="00A13C3E" w:rsidRDefault="00A13C3E">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8632" w:history="1">
            <w:r w:rsidRPr="009D2040">
              <w:rPr>
                <w:rStyle w:val="Hyperlink"/>
                <w:rFonts w:ascii="Roboto" w:hAnsi="Roboto"/>
                <w:b/>
                <w:bCs/>
                <w:noProof/>
              </w:rPr>
              <w:t>8.</w:t>
            </w:r>
            <w:r>
              <w:rPr>
                <w:rFonts w:asciiTheme="minorHAnsi" w:eastAsiaTheme="minorEastAsia" w:hAnsiTheme="minorHAnsi" w:cstheme="minorBidi"/>
                <w:noProof/>
                <w:sz w:val="22"/>
                <w:szCs w:val="22"/>
                <w:lang w:val="en-IN" w:eastAsia="en-IN"/>
              </w:rPr>
              <w:tab/>
            </w:r>
            <w:r w:rsidRPr="009D2040">
              <w:rPr>
                <w:rStyle w:val="Hyperlink"/>
                <w:rFonts w:ascii="Roboto" w:hAnsi="Roboto"/>
                <w:b/>
                <w:noProof/>
              </w:rPr>
              <w:t>Non-compliance</w:t>
            </w:r>
            <w:r>
              <w:rPr>
                <w:noProof/>
                <w:webHidden/>
              </w:rPr>
              <w:tab/>
            </w:r>
            <w:r>
              <w:rPr>
                <w:noProof/>
                <w:webHidden/>
              </w:rPr>
              <w:fldChar w:fldCharType="begin"/>
            </w:r>
            <w:r>
              <w:rPr>
                <w:noProof/>
                <w:webHidden/>
              </w:rPr>
              <w:instrText xml:space="preserve"> PAGEREF _Toc130468632 \h </w:instrText>
            </w:r>
            <w:r>
              <w:rPr>
                <w:noProof/>
                <w:webHidden/>
              </w:rPr>
            </w:r>
            <w:r>
              <w:rPr>
                <w:noProof/>
                <w:webHidden/>
              </w:rPr>
              <w:fldChar w:fldCharType="separate"/>
            </w:r>
            <w:r>
              <w:rPr>
                <w:noProof/>
                <w:webHidden/>
              </w:rPr>
              <w:t>7</w:t>
            </w:r>
            <w:r>
              <w:rPr>
                <w:noProof/>
                <w:webHidden/>
              </w:rPr>
              <w:fldChar w:fldCharType="end"/>
            </w:r>
          </w:hyperlink>
        </w:p>
        <w:p w14:paraId="1A248D21" w14:textId="6B8A38F0" w:rsidR="00E47EC0" w:rsidRPr="002C75CC" w:rsidRDefault="00E47EC0" w:rsidP="00E47EC0">
          <w:pPr>
            <w:rPr>
              <w:rFonts w:ascii="Segoe UI" w:hAnsi="Segoe UI" w:cs="Segoe UI"/>
            </w:rPr>
          </w:pPr>
          <w:r w:rsidRPr="002C75CC">
            <w:rPr>
              <w:rFonts w:ascii="Segoe UI" w:hAnsi="Segoe UI" w:cs="Segoe UI"/>
              <w:b/>
              <w:bCs/>
              <w:noProof/>
            </w:rPr>
            <w:fldChar w:fldCharType="end"/>
          </w:r>
        </w:p>
      </w:sdtContent>
    </w:sdt>
    <w:p w14:paraId="0879A603" w14:textId="2A8046AC" w:rsidR="004A5B92" w:rsidRDefault="00E47EC0" w:rsidP="004A5B92">
      <w:pPr>
        <w:pStyle w:val="Heading1"/>
        <w:jc w:val="center"/>
        <w:rPr>
          <w:rStyle w:val="Heading1Char"/>
          <w:rFonts w:ascii="Roboto" w:hAnsi="Roboto" w:cs="Open Sans"/>
          <w:b/>
          <w:color w:val="283372"/>
        </w:rPr>
      </w:pPr>
      <w:r>
        <w:rPr>
          <w:rFonts w:ascii="Roboto" w:hAnsi="Roboto"/>
          <w:b/>
          <w:color w:val="283372"/>
        </w:rPr>
        <w:br w:type="page"/>
      </w:r>
    </w:p>
    <w:p w14:paraId="3DE266EE" w14:textId="6ADA0C1E" w:rsidR="004A5B92" w:rsidRPr="002C75CC" w:rsidRDefault="00A13910">
      <w:pPr>
        <w:pStyle w:val="Heading2"/>
        <w:numPr>
          <w:ilvl w:val="0"/>
          <w:numId w:val="5"/>
        </w:numPr>
        <w:spacing w:before="240"/>
        <w:ind w:left="360"/>
        <w:rPr>
          <w:rStyle w:val="Heading1Char"/>
          <w:rFonts w:ascii="Roboto" w:hAnsi="Roboto" w:cs="Open Sans"/>
          <w:b/>
          <w:color w:val="283372"/>
        </w:rPr>
      </w:pPr>
      <w:bookmarkStart w:id="1" w:name="_Toc130468625"/>
      <w:r>
        <w:rPr>
          <w:rStyle w:val="Heading1Char"/>
          <w:rFonts w:ascii="Roboto" w:hAnsi="Roboto" w:cs="Open Sans"/>
          <w:b/>
          <w:color w:val="283372"/>
        </w:rPr>
        <w:lastRenderedPageBreak/>
        <w:t>Purpose</w:t>
      </w:r>
      <w:bookmarkEnd w:id="1"/>
    </w:p>
    <w:p w14:paraId="546D84CF" w14:textId="77777777" w:rsidR="00A13910" w:rsidRPr="00ED78AA" w:rsidRDefault="00A13910" w:rsidP="00A13910">
      <w:pPr>
        <w:rPr>
          <w:rFonts w:ascii="Segoe UI" w:hAnsi="Segoe UI" w:cs="Segoe UI"/>
          <w:color w:val="808080"/>
        </w:rPr>
      </w:pPr>
      <w:bookmarkStart w:id="2" w:name="_Toc129600604"/>
      <w:bookmarkStart w:id="3" w:name="_Toc129600720"/>
      <w:bookmarkStart w:id="4" w:name="_Toc129600778"/>
      <w:bookmarkStart w:id="5" w:name="_Toc129600836"/>
      <w:bookmarkStart w:id="6" w:name="_Toc129601176"/>
      <w:bookmarkStart w:id="7" w:name="_Toc129601233"/>
      <w:bookmarkStart w:id="8" w:name="_Toc129601291"/>
      <w:bookmarkStart w:id="9" w:name="_Toc129601349"/>
      <w:bookmarkStart w:id="10" w:name="_Toc129601407"/>
      <w:bookmarkStart w:id="11" w:name="_Toc129601754"/>
      <w:bookmarkStart w:id="12" w:name="_Toc129611116"/>
      <w:r w:rsidRPr="00ED78AA">
        <w:rPr>
          <w:rFonts w:ascii="Segoe UI" w:hAnsi="Segoe UI" w:cs="Segoe UI"/>
          <w:color w:val="808080"/>
        </w:rPr>
        <w:t xml:space="preserve">Describe the factors or circumstances that mandate the existence of the policy. Also state the policy’s basic objectives and what the policy is meant to achieve. </w:t>
      </w:r>
    </w:p>
    <w:p w14:paraId="3FCAFA09" w14:textId="77777777" w:rsidR="00A13C3E" w:rsidRDefault="00A13C3E" w:rsidP="00A13C3E">
      <w:pPr>
        <w:rPr>
          <w:rFonts w:cs="Times New Roman"/>
        </w:rPr>
      </w:pPr>
      <w:r>
        <w:t xml:space="preserve">This policy supports the </w:t>
      </w:r>
      <w:r>
        <w:rPr>
          <w:color w:val="808080" w:themeColor="background1" w:themeShade="80"/>
        </w:rPr>
        <w:t xml:space="preserve">[Client Name] </w:t>
      </w:r>
      <w:r>
        <w:t xml:space="preserve">mandate for Business Continuity Management (BCM), a comprehensive program concerned with improving the resilience of </w:t>
      </w:r>
      <w:r>
        <w:rPr>
          <w:color w:val="808080" w:themeColor="background1" w:themeShade="80"/>
        </w:rPr>
        <w:t>[Client Name]</w:t>
      </w:r>
      <w:r>
        <w:t xml:space="preserve">. </w:t>
      </w:r>
      <w:r>
        <w:rPr>
          <w:color w:val="808080" w:themeColor="background1" w:themeShade="80"/>
        </w:rPr>
        <w:t xml:space="preserve">[Client Name] </w:t>
      </w:r>
      <w:r>
        <w:t xml:space="preserve">will take appropriate steps to detect, prevent, minimize, and manage the impact of disruptive events through BCM activities. </w:t>
      </w:r>
    </w:p>
    <w:p w14:paraId="68E6FFC9" w14:textId="77777777" w:rsidR="00A13C3E" w:rsidRDefault="00A13C3E" w:rsidP="00A13C3E">
      <w:r>
        <w:t>The BCM program has the following objectives:</w:t>
      </w:r>
    </w:p>
    <w:p w14:paraId="00EFBE08" w14:textId="77777777" w:rsidR="00A13C3E" w:rsidRDefault="00A13C3E" w:rsidP="00A13C3E">
      <w:pPr>
        <w:pStyle w:val="ListParagraph"/>
        <w:numPr>
          <w:ilvl w:val="0"/>
          <w:numId w:val="39"/>
        </w:numPr>
        <w:spacing w:after="120" w:line="240" w:lineRule="auto"/>
        <w:rPr>
          <w:szCs w:val="24"/>
        </w:rPr>
      </w:pPr>
      <w:r>
        <w:t xml:space="preserve">Improve </w:t>
      </w:r>
      <w:r>
        <w:rPr>
          <w:color w:val="808080" w:themeColor="background1" w:themeShade="80"/>
        </w:rPr>
        <w:t xml:space="preserve">[Client Name] </w:t>
      </w:r>
      <w:r>
        <w:t>resilience against disruption of its ability to deliver key business objectives before a disruption occurs.</w:t>
      </w:r>
    </w:p>
    <w:p w14:paraId="0859DDA0" w14:textId="77777777" w:rsidR="00A13C3E" w:rsidRDefault="00A13C3E" w:rsidP="00A13C3E">
      <w:pPr>
        <w:pStyle w:val="ListParagraph"/>
        <w:numPr>
          <w:ilvl w:val="0"/>
          <w:numId w:val="39"/>
        </w:numPr>
        <w:spacing w:after="120" w:line="240" w:lineRule="auto"/>
      </w:pPr>
      <w:r>
        <w:t xml:space="preserve">Deliver proven capabilities to manage business disruption and protect </w:t>
      </w:r>
      <w:r>
        <w:rPr>
          <w:color w:val="808080" w:themeColor="background1" w:themeShade="80"/>
        </w:rPr>
        <w:t xml:space="preserve">[Client Name] </w:t>
      </w:r>
      <w:r>
        <w:t>value-creating activities, such as increasing market share; generating revenue; and protecting stakeholder interests, reputation, and brand image.</w:t>
      </w:r>
    </w:p>
    <w:p w14:paraId="088CCBA0" w14:textId="7A97F6C0" w:rsidR="00A13910" w:rsidRPr="00ED78AA" w:rsidRDefault="00A13C3E" w:rsidP="00A13C3E">
      <w:pPr>
        <w:pStyle w:val="ListParagraph"/>
        <w:numPr>
          <w:ilvl w:val="0"/>
          <w:numId w:val="39"/>
        </w:numPr>
        <w:spacing w:after="120" w:line="240" w:lineRule="auto"/>
        <w:jc w:val="both"/>
        <w:rPr>
          <w:rFonts w:ascii="Segoe UI" w:hAnsi="Segoe UI" w:cs="Segoe UI"/>
        </w:rPr>
      </w:pPr>
      <w:r>
        <w:t xml:space="preserve">Restore </w:t>
      </w:r>
      <w:r>
        <w:rPr>
          <w:color w:val="808080" w:themeColor="background1" w:themeShade="80"/>
        </w:rPr>
        <w:t xml:space="preserve">[Client Name] </w:t>
      </w:r>
      <w:r>
        <w:t>ability to deliver key processes to an agreed level within an agreed time following a disruption.</w:t>
      </w:r>
    </w:p>
    <w:p w14:paraId="1D23D3D0" w14:textId="77777777" w:rsidR="004A5B92" w:rsidRPr="00D946E7" w:rsidRDefault="004A5B92">
      <w:pPr>
        <w:pStyle w:val="Heading2"/>
        <w:numPr>
          <w:ilvl w:val="0"/>
          <w:numId w:val="5"/>
        </w:numPr>
        <w:spacing w:before="240"/>
        <w:ind w:left="360"/>
        <w:rPr>
          <w:rStyle w:val="Heading1Char"/>
          <w:rFonts w:ascii="Roboto" w:hAnsi="Roboto" w:cs="Open Sans"/>
          <w:b/>
          <w:color w:val="283372"/>
        </w:rPr>
      </w:pPr>
      <w:bookmarkStart w:id="13" w:name="_Toc130468626"/>
      <w:r w:rsidRPr="00D946E7">
        <w:rPr>
          <w:rStyle w:val="Heading1Char"/>
          <w:rFonts w:ascii="Roboto" w:hAnsi="Roboto" w:cs="Open Sans"/>
          <w:b/>
          <w:color w:val="283372"/>
        </w:rPr>
        <w:t>Scope</w:t>
      </w:r>
      <w:bookmarkEnd w:id="2"/>
      <w:bookmarkEnd w:id="3"/>
      <w:bookmarkEnd w:id="4"/>
      <w:bookmarkEnd w:id="5"/>
      <w:bookmarkEnd w:id="6"/>
      <w:bookmarkEnd w:id="7"/>
      <w:bookmarkEnd w:id="8"/>
      <w:bookmarkEnd w:id="9"/>
      <w:bookmarkEnd w:id="10"/>
      <w:bookmarkEnd w:id="11"/>
      <w:bookmarkEnd w:id="12"/>
      <w:bookmarkEnd w:id="13"/>
    </w:p>
    <w:p w14:paraId="0E2DF36F"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to whom and to what systems this policy applies. List the employees required to comply or simply indicate “all” if all must comply. Also indicate any exclusions or exceptions that are out of scope, </w:t>
      </w:r>
      <w:proofErr w:type="gramStart"/>
      <w:r w:rsidRPr="00ED78AA">
        <w:rPr>
          <w:rFonts w:ascii="Segoe UI" w:hAnsi="Segoe UI" w:cs="Segoe UI"/>
          <w:color w:val="808080"/>
        </w:rPr>
        <w:t>i.e.</w:t>
      </w:r>
      <w:proofErr w:type="gramEnd"/>
      <w:r w:rsidRPr="00ED78AA">
        <w:rPr>
          <w:rFonts w:ascii="Segoe UI" w:hAnsi="Segoe UI" w:cs="Segoe UI"/>
          <w:color w:val="808080"/>
        </w:rPr>
        <w:t xml:space="preserve"> those people, elements, or situations that are not covered by this policy or where special consideration may be made.</w:t>
      </w:r>
    </w:p>
    <w:p w14:paraId="2E397A62" w14:textId="77777777" w:rsidR="00A13C3E" w:rsidRDefault="00A13C3E" w:rsidP="00A13C3E">
      <w:pPr>
        <w:rPr>
          <w:rFonts w:cs="Arial"/>
        </w:rPr>
      </w:pPr>
      <w:r>
        <w:rPr>
          <w:rFonts w:cs="Arial"/>
        </w:rPr>
        <w:t xml:space="preserve">This BCM Policy applies to the whole of </w:t>
      </w:r>
      <w:r>
        <w:rPr>
          <w:color w:val="808080" w:themeColor="background1" w:themeShade="80"/>
        </w:rPr>
        <w:t>[Client Name]</w:t>
      </w:r>
      <w:r>
        <w:rPr>
          <w:rFonts w:cs="Arial"/>
        </w:rPr>
        <w:t xml:space="preserve">, including all global subsidiaries, and to any outsourcing or joint venture </w:t>
      </w:r>
      <w:proofErr w:type="gramStart"/>
      <w:r>
        <w:rPr>
          <w:rFonts w:cs="Arial"/>
        </w:rPr>
        <w:t>entered into</w:t>
      </w:r>
      <w:proofErr w:type="gramEnd"/>
      <w:r>
        <w:rPr>
          <w:rFonts w:cs="Arial"/>
        </w:rPr>
        <w:t xml:space="preserve"> by </w:t>
      </w:r>
      <w:r>
        <w:rPr>
          <w:color w:val="808080" w:themeColor="background1" w:themeShade="80"/>
        </w:rPr>
        <w:t xml:space="preserve">[Client Name] </w:t>
      </w:r>
      <w:r>
        <w:rPr>
          <w:rFonts w:cs="Arial"/>
        </w:rPr>
        <w:t>or its subsidiaries.</w:t>
      </w:r>
    </w:p>
    <w:p w14:paraId="0BB33F56" w14:textId="6E18C81B" w:rsidR="00A13910" w:rsidRPr="00ED78AA" w:rsidRDefault="00A13C3E" w:rsidP="00A13C3E">
      <w:pPr>
        <w:jc w:val="both"/>
        <w:rPr>
          <w:rFonts w:ascii="Segoe UI" w:hAnsi="Segoe UI" w:cs="Segoe UI"/>
        </w:rPr>
      </w:pPr>
      <w:r>
        <w:rPr>
          <w:rFonts w:cs="Arial"/>
        </w:rPr>
        <w:t xml:space="preserve">Third parties, including service providers upon whom </w:t>
      </w:r>
      <w:r>
        <w:rPr>
          <w:color w:val="808080" w:themeColor="background1" w:themeShade="80"/>
        </w:rPr>
        <w:t xml:space="preserve">[Client Name] </w:t>
      </w:r>
      <w:r>
        <w:rPr>
          <w:rFonts w:cs="Arial"/>
        </w:rPr>
        <w:t xml:space="preserve">is critically dependent for the provision of services, must be considered an essential part of business continuity planning, and appropriate contingency arrangements must be ensured by means of contractual agreements assuring business continuity of external parties in accordance with </w:t>
      </w:r>
      <w:r>
        <w:rPr>
          <w:color w:val="808080" w:themeColor="background1" w:themeShade="80"/>
        </w:rPr>
        <w:t xml:space="preserve">[Client Name] </w:t>
      </w:r>
      <w:r>
        <w:rPr>
          <w:rFonts w:cs="Arial"/>
        </w:rPr>
        <w:t>standards.</w:t>
      </w:r>
    </w:p>
    <w:p w14:paraId="1456B28A" w14:textId="5F8B5671" w:rsidR="004A5B92" w:rsidRPr="00C811AF" w:rsidRDefault="004A5B92">
      <w:pPr>
        <w:pStyle w:val="Heading2"/>
        <w:numPr>
          <w:ilvl w:val="0"/>
          <w:numId w:val="5"/>
        </w:numPr>
        <w:spacing w:before="240"/>
        <w:ind w:left="360"/>
        <w:rPr>
          <w:rStyle w:val="Heading1Char"/>
          <w:rFonts w:ascii="Roboto" w:hAnsi="Roboto" w:cs="Open Sans"/>
          <w:b/>
          <w:color w:val="283372"/>
        </w:rPr>
      </w:pPr>
      <w:bookmarkStart w:id="14" w:name="_Toc129600606"/>
      <w:bookmarkStart w:id="15" w:name="_Toc129600722"/>
      <w:bookmarkStart w:id="16" w:name="_Toc129600780"/>
      <w:bookmarkStart w:id="17" w:name="_Toc129600838"/>
      <w:bookmarkStart w:id="18" w:name="_Toc129601178"/>
      <w:bookmarkStart w:id="19" w:name="_Toc129601235"/>
      <w:bookmarkStart w:id="20" w:name="_Toc129601293"/>
      <w:bookmarkStart w:id="21" w:name="_Toc129601351"/>
      <w:bookmarkStart w:id="22" w:name="_Toc129601409"/>
      <w:bookmarkStart w:id="23" w:name="_Toc129601756"/>
      <w:bookmarkStart w:id="24" w:name="_Toc129611118"/>
      <w:bookmarkStart w:id="25" w:name="_Toc130468627"/>
      <w:r w:rsidRPr="00C811AF">
        <w:rPr>
          <w:rStyle w:val="Heading1Char"/>
          <w:rFonts w:ascii="Roboto" w:hAnsi="Roboto" w:cs="Open Sans"/>
          <w:b/>
          <w:color w:val="283372"/>
        </w:rPr>
        <w:t>D</w:t>
      </w:r>
      <w:bookmarkEnd w:id="14"/>
      <w:bookmarkEnd w:id="15"/>
      <w:bookmarkEnd w:id="16"/>
      <w:bookmarkEnd w:id="17"/>
      <w:bookmarkEnd w:id="18"/>
      <w:bookmarkEnd w:id="19"/>
      <w:bookmarkEnd w:id="20"/>
      <w:bookmarkEnd w:id="21"/>
      <w:bookmarkEnd w:id="22"/>
      <w:bookmarkEnd w:id="23"/>
      <w:bookmarkEnd w:id="24"/>
      <w:r w:rsidR="00A13910">
        <w:rPr>
          <w:rStyle w:val="Heading1Char"/>
          <w:rFonts w:ascii="Roboto" w:hAnsi="Roboto" w:cs="Open Sans"/>
          <w:b/>
          <w:color w:val="283372"/>
        </w:rPr>
        <w:t>efinitions</w:t>
      </w:r>
      <w:bookmarkEnd w:id="25"/>
    </w:p>
    <w:p w14:paraId="0BB4DAC2"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any key terms, acronyms, or concepts that will be used in the policy or accompanying procedures. A standard glossary approach is sufficient. An example definition: </w:t>
      </w:r>
    </w:p>
    <w:p w14:paraId="28B128E1" w14:textId="77777777" w:rsidR="00A13C3E" w:rsidRDefault="00A13C3E" w:rsidP="00A13C3E">
      <w:pPr>
        <w:rPr>
          <w:rFonts w:cs="Arial"/>
        </w:rPr>
      </w:pPr>
      <w:r>
        <w:rPr>
          <w:rFonts w:cs="Arial"/>
        </w:rPr>
        <w:t xml:space="preserve">This BCM Policy applies to the whole of </w:t>
      </w:r>
      <w:r>
        <w:rPr>
          <w:color w:val="808080" w:themeColor="background1" w:themeShade="80"/>
        </w:rPr>
        <w:t>[Client Name]</w:t>
      </w:r>
      <w:r>
        <w:rPr>
          <w:rFonts w:cs="Arial"/>
        </w:rPr>
        <w:t xml:space="preserve">, including all global subsidiaries, and to any outsourcing or joint venture </w:t>
      </w:r>
      <w:proofErr w:type="gramStart"/>
      <w:r>
        <w:rPr>
          <w:rFonts w:cs="Arial"/>
        </w:rPr>
        <w:t>entered into</w:t>
      </w:r>
      <w:proofErr w:type="gramEnd"/>
      <w:r>
        <w:rPr>
          <w:rFonts w:cs="Arial"/>
        </w:rPr>
        <w:t xml:space="preserve"> by </w:t>
      </w:r>
      <w:r>
        <w:rPr>
          <w:color w:val="808080" w:themeColor="background1" w:themeShade="80"/>
        </w:rPr>
        <w:t xml:space="preserve">[Client Name] </w:t>
      </w:r>
      <w:r>
        <w:rPr>
          <w:rFonts w:cs="Arial"/>
        </w:rPr>
        <w:t>or its subsidiaries.</w:t>
      </w:r>
    </w:p>
    <w:p w14:paraId="2F7A07AC" w14:textId="77777777" w:rsidR="00A13C3E" w:rsidRPr="00900C31" w:rsidRDefault="00A13C3E" w:rsidP="00A13C3E">
      <w:pPr>
        <w:jc w:val="both"/>
        <w:rPr>
          <w:rFonts w:cs="Arial"/>
        </w:rPr>
      </w:pPr>
      <w:r>
        <w:rPr>
          <w:rFonts w:cs="Arial"/>
        </w:rPr>
        <w:t xml:space="preserve">Third parties, including service providers upon whom </w:t>
      </w:r>
      <w:r>
        <w:rPr>
          <w:color w:val="808080" w:themeColor="background1" w:themeShade="80"/>
        </w:rPr>
        <w:t xml:space="preserve">[Client Name] </w:t>
      </w:r>
      <w:r>
        <w:rPr>
          <w:rFonts w:cs="Arial"/>
        </w:rPr>
        <w:t xml:space="preserve">is critically dependent for the provision of services, must be considered an essential part of business continuity planning, and appropriate contingency arrangements must be ensured by means of contractual agreements assuring business continuity of external parties in accordance with </w:t>
      </w:r>
      <w:r>
        <w:rPr>
          <w:color w:val="808080" w:themeColor="background1" w:themeShade="80"/>
        </w:rPr>
        <w:t xml:space="preserve">[Client Name] </w:t>
      </w:r>
      <w:r>
        <w:rPr>
          <w:rFonts w:cs="Arial"/>
        </w:rPr>
        <w:t>standards.</w:t>
      </w:r>
    </w:p>
    <w:p w14:paraId="77851358" w14:textId="77777777" w:rsidR="00A13C3E" w:rsidRPr="00A13C3E" w:rsidRDefault="00A13C3E" w:rsidP="00A13C3E">
      <w:pPr>
        <w:pStyle w:val="Heading2"/>
        <w:numPr>
          <w:ilvl w:val="0"/>
          <w:numId w:val="5"/>
        </w:numPr>
        <w:spacing w:before="240"/>
        <w:ind w:left="360"/>
        <w:rPr>
          <w:rStyle w:val="Heading1Char"/>
          <w:rFonts w:ascii="Roboto" w:hAnsi="Roboto" w:cs="Open Sans"/>
          <w:b/>
          <w:color w:val="283372"/>
        </w:rPr>
      </w:pPr>
      <w:bookmarkStart w:id="26" w:name="_Toc506278722"/>
      <w:bookmarkStart w:id="27" w:name="_Toc125654691"/>
      <w:bookmarkStart w:id="28" w:name="_Toc130468628"/>
      <w:r w:rsidRPr="00A13C3E">
        <w:rPr>
          <w:rStyle w:val="Heading1Char"/>
          <w:rFonts w:ascii="Roboto" w:hAnsi="Roboto" w:cs="Open Sans"/>
          <w:b/>
          <w:color w:val="283372"/>
        </w:rPr>
        <w:lastRenderedPageBreak/>
        <w:t>Definitions</w:t>
      </w:r>
      <w:bookmarkEnd w:id="26"/>
      <w:bookmarkEnd w:id="27"/>
      <w:bookmarkEnd w:id="28"/>
    </w:p>
    <w:p w14:paraId="47440A35" w14:textId="77777777" w:rsidR="00A13C3E" w:rsidRDefault="00A13C3E" w:rsidP="00A13C3E">
      <w:pPr>
        <w:rPr>
          <w:rFonts w:cs="Arial"/>
          <w:color w:val="808080"/>
        </w:rPr>
      </w:pPr>
      <w:r>
        <w:rPr>
          <w:rFonts w:cs="Arial"/>
          <w:color w:val="808080"/>
        </w:rPr>
        <w:t xml:space="preserve">Define any key terms, acronyms, or concepts that will be used in the policy or accompanying procedures. A standard glossary approach is sufficient. An example definition: </w:t>
      </w:r>
    </w:p>
    <w:p w14:paraId="18487B2F" w14:textId="77777777" w:rsidR="00A13C3E" w:rsidRDefault="00A13C3E" w:rsidP="00A13C3E">
      <w:pPr>
        <w:rPr>
          <w:rFonts w:cs="Arial"/>
          <w:color w:val="000000" w:themeColor="text1"/>
          <w:lang w:val="en-CA"/>
        </w:rPr>
      </w:pPr>
      <w:r>
        <w:rPr>
          <w:rFonts w:cs="Arial"/>
          <w:color w:val="000000" w:themeColor="text1"/>
        </w:rPr>
        <w:t>Business Continuity Management (BCM): “</w:t>
      </w:r>
      <w:r>
        <w:rPr>
          <w:rFonts w:cs="Arial"/>
          <w:color w:val="000000" w:themeColor="text1"/>
          <w:lang w:val="en-CA"/>
        </w:rPr>
        <w:t>A holistic management process that identifies potential threats to an organization and the impacts to business operations those threats, if realized, might cause, and which provides a framework for building organizational resilience with the capability of an effective response that safeguards the interests of its key stakeholders, reputation, brand and value-creating activities.”</w:t>
      </w:r>
      <w:r>
        <w:rPr>
          <w:rStyle w:val="FootnoteReference"/>
          <w:rFonts w:cs="Arial"/>
          <w:color w:val="000000" w:themeColor="text1"/>
          <w:lang w:val="en-CA"/>
        </w:rPr>
        <w:footnoteReference w:id="2"/>
      </w:r>
    </w:p>
    <w:p w14:paraId="2FAA6B14" w14:textId="77777777" w:rsidR="00A13C3E" w:rsidRDefault="00A13C3E" w:rsidP="00A13C3E">
      <w:pPr>
        <w:rPr>
          <w:rFonts w:cs="Arial"/>
          <w:color w:val="000000" w:themeColor="text1"/>
          <w:lang w:val="en-CA"/>
        </w:rPr>
      </w:pPr>
      <w:r>
        <w:rPr>
          <w:rFonts w:cs="Arial"/>
          <w:color w:val="000000" w:themeColor="text1"/>
          <w:lang w:val="en-CA"/>
        </w:rPr>
        <w:t>Business Continuity Plan (BCP): “D</w:t>
      </w:r>
      <w:r>
        <w:rPr>
          <w:rFonts w:cs="Arial"/>
          <w:color w:val="000000" w:themeColor="text1"/>
        </w:rPr>
        <w:t>documented procedures that guide organizations to respond, recover, resume, and restore to a pre-defined level of operation following disruption.”</w:t>
      </w:r>
      <w:r>
        <w:rPr>
          <w:rStyle w:val="FootnoteReference"/>
          <w:rFonts w:cs="Arial"/>
          <w:color w:val="000000" w:themeColor="text1"/>
        </w:rPr>
        <w:footnoteReference w:id="3"/>
      </w:r>
    </w:p>
    <w:p w14:paraId="37DAB02A" w14:textId="77777777" w:rsidR="00A13C3E" w:rsidRDefault="00A13C3E" w:rsidP="00A13C3E">
      <w:pPr>
        <w:rPr>
          <w:rFonts w:cs="Arial"/>
          <w:color w:val="000000" w:themeColor="text1"/>
        </w:rPr>
      </w:pPr>
      <w:r>
        <w:rPr>
          <w:rFonts w:cs="Arial"/>
          <w:color w:val="000000" w:themeColor="text1"/>
        </w:rPr>
        <w:t>Disaster Recovery Plan (DRP): A plan to restore IT application and infrastructure services following a disruption. The DRP is a component of the BCP.</w:t>
      </w:r>
    </w:p>
    <w:p w14:paraId="5D0C0490" w14:textId="5BA50330" w:rsidR="004A5B92" w:rsidRPr="00ED78AA" w:rsidRDefault="00A13C3E" w:rsidP="00A13C3E">
      <w:pPr>
        <w:jc w:val="both"/>
        <w:rPr>
          <w:rFonts w:ascii="Segoe UI" w:hAnsi="Segoe UI" w:cs="Segoe UI"/>
        </w:rPr>
      </w:pPr>
      <w:r>
        <w:rPr>
          <w:rFonts w:cs="Arial"/>
          <w:color w:val="000000" w:themeColor="text1"/>
        </w:rPr>
        <w:t>Crisis Management Plan (CMP): A plan to manage a wide range of crises, from health and safety incidents to business disruptions and reputational damage. The CMP is a component of the BCP.</w:t>
      </w:r>
    </w:p>
    <w:p w14:paraId="3117FD80" w14:textId="499828F8"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9" w:name="_Toc130468629"/>
      <w:r>
        <w:rPr>
          <w:rStyle w:val="Heading1Char"/>
          <w:rFonts w:ascii="Roboto" w:hAnsi="Roboto" w:cs="Open Sans"/>
          <w:b/>
          <w:color w:val="283372"/>
        </w:rPr>
        <w:t>Applicable Laws, Regulations, and Industry Standards</w:t>
      </w:r>
      <w:bookmarkEnd w:id="29"/>
    </w:p>
    <w:p w14:paraId="4484C19B" w14:textId="19D5E7BD" w:rsidR="004A5B92" w:rsidRDefault="00A13910" w:rsidP="00A13910">
      <w:pPr>
        <w:jc w:val="both"/>
        <w:rPr>
          <w:rFonts w:ascii="Segoe UI" w:hAnsi="Segoe UI" w:cs="Segoe UI"/>
        </w:rPr>
      </w:pPr>
      <w:r w:rsidRPr="00A13910">
        <w:rPr>
          <w:rFonts w:ascii="Segoe UI" w:hAnsi="Segoe UI" w:cs="Segoe UI"/>
        </w:rPr>
        <w:t>If applicable, list any laws or regulations that govern the policy or with which the policy must comply. Confirm with the legal department that the list is full and accurate. If there are no applicable laws, regulations, or industry standards delete this section.</w:t>
      </w:r>
    </w:p>
    <w:tbl>
      <w:tblPr>
        <w:tblStyle w:val="GridTable4-Accent5"/>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403"/>
      </w:tblGrid>
      <w:tr w:rsidR="00A13910" w:rsidRPr="004A515E" w14:paraId="4FCC2C3C" w14:textId="77777777" w:rsidTr="00A1391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9" w:type="dxa"/>
            <w:shd w:val="clear" w:color="auto" w:fill="002060"/>
          </w:tcPr>
          <w:p w14:paraId="7458CE26" w14:textId="2B315B8F" w:rsidR="00A13910" w:rsidRPr="004A515E" w:rsidRDefault="00A13910" w:rsidP="00A13910">
            <w:pPr>
              <w:rPr>
                <w:rFonts w:ascii="Segoe UI" w:hAnsi="Segoe UI" w:cs="Segoe UI"/>
                <w:b w:val="0"/>
                <w:bCs w:val="0"/>
                <w:lang w:eastAsia="en-IN"/>
              </w:rPr>
            </w:pPr>
            <w:r>
              <w:rPr>
                <w:rFonts w:ascii="Segoe UI" w:hAnsi="Segoe UI" w:cs="Segoe UI"/>
                <w:b w:val="0"/>
                <w:bCs w:val="0"/>
                <w:lang w:eastAsia="en-IN"/>
              </w:rPr>
              <w:t>G</w:t>
            </w:r>
            <w:r>
              <w:rPr>
                <w:rFonts w:ascii="Segoe UI" w:hAnsi="Segoe UI" w:cs="Segoe UI"/>
                <w:b w:val="0"/>
                <w:lang w:eastAsia="en-IN"/>
              </w:rPr>
              <w:t>uidance</w:t>
            </w:r>
          </w:p>
        </w:tc>
        <w:tc>
          <w:tcPr>
            <w:tcW w:w="7403" w:type="dxa"/>
            <w:shd w:val="clear" w:color="auto" w:fill="002060"/>
          </w:tcPr>
          <w:p w14:paraId="0DE97222" w14:textId="35B781D9" w:rsidR="00A13910" w:rsidRPr="004A515E" w:rsidRDefault="00A13910" w:rsidP="00A1391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lang w:eastAsia="en-IN"/>
              </w:rPr>
            </w:pPr>
            <w:r>
              <w:rPr>
                <w:rFonts w:ascii="Segoe UI" w:hAnsi="Segoe UI" w:cs="Segoe UI"/>
                <w:b w:val="0"/>
                <w:bCs w:val="0"/>
                <w:lang w:eastAsia="en-IN"/>
              </w:rPr>
              <w:t>S</w:t>
            </w:r>
            <w:r>
              <w:rPr>
                <w:rFonts w:ascii="Segoe UI" w:hAnsi="Segoe UI" w:cs="Segoe UI"/>
                <w:b w:val="0"/>
                <w:lang w:eastAsia="en-IN"/>
              </w:rPr>
              <w:t>ection</w:t>
            </w:r>
          </w:p>
        </w:tc>
      </w:tr>
      <w:tr w:rsidR="00A13910" w:rsidRPr="004A515E" w14:paraId="1F277881" w14:textId="77777777" w:rsidTr="00A1391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89" w:type="dxa"/>
          </w:tcPr>
          <w:p w14:paraId="66C9E83D" w14:textId="3B00B541" w:rsidR="00A13910" w:rsidRPr="004A515E" w:rsidRDefault="00A13910" w:rsidP="00A13910">
            <w:pPr>
              <w:spacing w:line="276" w:lineRule="auto"/>
              <w:rPr>
                <w:rFonts w:ascii="Segoe UI" w:hAnsi="Segoe UI" w:cs="Segoe UI"/>
                <w:b w:val="0"/>
                <w:bCs w:val="0"/>
                <w:lang w:eastAsia="en-IN"/>
              </w:rPr>
            </w:pPr>
            <w:r>
              <w:rPr>
                <w:rFonts w:ascii="Segoe UI" w:hAnsi="Segoe UI" w:cs="Segoe UI"/>
                <w:b w:val="0"/>
                <w:bCs w:val="0"/>
                <w:lang w:eastAsia="en-IN"/>
              </w:rPr>
              <w:t>I</w:t>
            </w:r>
            <w:r>
              <w:rPr>
                <w:rFonts w:ascii="Segoe UI" w:hAnsi="Segoe UI" w:cs="Segoe UI"/>
                <w:b w:val="0"/>
                <w:lang w:eastAsia="en-IN"/>
              </w:rPr>
              <w:t>SO 20000-1:2018</w:t>
            </w:r>
          </w:p>
        </w:tc>
        <w:tc>
          <w:tcPr>
            <w:tcW w:w="7403" w:type="dxa"/>
          </w:tcPr>
          <w:p w14:paraId="40768DB7" w14:textId="3837E0BB" w:rsidR="00A13910" w:rsidRPr="004A515E" w:rsidRDefault="00A13910" w:rsidP="00A13910">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lang w:eastAsia="en-IN"/>
              </w:rPr>
            </w:pPr>
            <w:r>
              <w:rPr>
                <w:rFonts w:ascii="Segoe UI" w:hAnsi="Segoe UI" w:cs="Segoe UI"/>
                <w:lang w:eastAsia="en-IN"/>
              </w:rPr>
              <w:t xml:space="preserve">Section 8.7 (Service Assurance – </w:t>
            </w:r>
            <w:r w:rsidR="00A13C3E">
              <w:rPr>
                <w:rFonts w:ascii="Segoe UI" w:hAnsi="Segoe UI" w:cs="Segoe UI"/>
                <w:lang w:eastAsia="en-IN"/>
              </w:rPr>
              <w:t>Service Continuity</w:t>
            </w:r>
            <w:r>
              <w:rPr>
                <w:rFonts w:ascii="Segoe UI" w:hAnsi="Segoe UI" w:cs="Segoe UI"/>
                <w:lang w:eastAsia="en-IN"/>
              </w:rPr>
              <w:t xml:space="preserve"> Management)</w:t>
            </w:r>
          </w:p>
        </w:tc>
      </w:tr>
    </w:tbl>
    <w:p w14:paraId="34044322" w14:textId="33B47469" w:rsidR="004A5B92" w:rsidRPr="00C811AF" w:rsidRDefault="00A13910">
      <w:pPr>
        <w:pStyle w:val="Heading2"/>
        <w:numPr>
          <w:ilvl w:val="0"/>
          <w:numId w:val="5"/>
        </w:numPr>
        <w:spacing w:before="240"/>
        <w:ind w:left="360"/>
        <w:rPr>
          <w:rStyle w:val="Heading1Char"/>
          <w:rFonts w:ascii="Roboto" w:hAnsi="Roboto" w:cs="Open Sans"/>
          <w:b/>
          <w:color w:val="283372"/>
        </w:rPr>
      </w:pPr>
      <w:bookmarkStart w:id="30" w:name="_Toc130468630"/>
      <w:r>
        <w:rPr>
          <w:rStyle w:val="Heading1Char"/>
          <w:rFonts w:ascii="Roboto" w:hAnsi="Roboto" w:cs="Open Sans"/>
          <w:b/>
          <w:color w:val="283372"/>
        </w:rPr>
        <w:t>Policy Statements</w:t>
      </w:r>
      <w:bookmarkEnd w:id="30"/>
    </w:p>
    <w:p w14:paraId="1FEE1DD7" w14:textId="77777777" w:rsidR="00A13910" w:rsidRPr="00A13910" w:rsidRDefault="00A13910" w:rsidP="00ED78AA">
      <w:pPr>
        <w:spacing w:after="0"/>
        <w:jc w:val="both"/>
        <w:rPr>
          <w:rFonts w:ascii="Segoe UI" w:hAnsi="Segoe UI" w:cs="Segoe UI"/>
          <w:color w:val="808080"/>
        </w:rPr>
      </w:pPr>
      <w:r w:rsidRPr="00A13910">
        <w:rPr>
          <w:rFonts w:ascii="Segoe UI" w:hAnsi="Segoe UI" w:cs="Segoe UI"/>
          <w:color w:val="808080"/>
        </w:rPr>
        <w:t>Describe the rules that comprise the policy. This typically takes the form of a series of short prescriptive and proscriptive statements. Subdividing this section into subsections may be preferable, depending on the length or complexity of the policy.</w:t>
      </w:r>
    </w:p>
    <w:p w14:paraId="0CFB8E5C" w14:textId="4C42B64F" w:rsidR="00A13910" w:rsidRPr="00A13910" w:rsidRDefault="00A13C3E" w:rsidP="00ED78AA">
      <w:pPr>
        <w:pStyle w:val="SoKPolicyThirdLevelContent"/>
        <w:spacing w:before="240"/>
        <w:ind w:left="0" w:firstLine="0"/>
        <w:jc w:val="both"/>
        <w:rPr>
          <w:rFonts w:ascii="Segoe UI" w:hAnsi="Segoe UI" w:cs="Segoe UI"/>
          <w:b/>
          <w:sz w:val="20"/>
          <w:lang w:eastAsia="en-US"/>
        </w:rPr>
      </w:pPr>
      <w:r>
        <w:rPr>
          <w:rFonts w:ascii="Segoe UI" w:hAnsi="Segoe UI" w:cs="Segoe UI"/>
          <w:b/>
          <w:sz w:val="20"/>
          <w:lang w:eastAsia="en-US"/>
        </w:rPr>
        <w:t>Basic</w:t>
      </w:r>
      <w:r w:rsidR="00A13910" w:rsidRPr="00A13910">
        <w:rPr>
          <w:rFonts w:ascii="Segoe UI" w:hAnsi="Segoe UI" w:cs="Segoe UI"/>
          <w:b/>
          <w:sz w:val="20"/>
          <w:lang w:eastAsia="en-US"/>
        </w:rPr>
        <w:t xml:space="preserve"> Policy Requirements:</w:t>
      </w:r>
    </w:p>
    <w:p w14:paraId="29911D50" w14:textId="08D48867" w:rsidR="00A13910" w:rsidRPr="00A13910" w:rsidRDefault="00A13910" w:rsidP="00ED78AA">
      <w:pPr>
        <w:pStyle w:val="ListParagraph"/>
        <w:numPr>
          <w:ilvl w:val="0"/>
          <w:numId w:val="41"/>
        </w:numPr>
        <w:spacing w:after="120" w:line="240" w:lineRule="auto"/>
        <w:contextualSpacing w:val="0"/>
        <w:jc w:val="both"/>
        <w:rPr>
          <w:rFonts w:ascii="Segoe UI" w:hAnsi="Segoe UI" w:cs="Segoe UI"/>
        </w:rPr>
      </w:pPr>
      <w:r w:rsidRPr="00A13910">
        <w:rPr>
          <w:rFonts w:ascii="Segoe UI" w:hAnsi="Segoe UI" w:cs="Segoe UI"/>
          <w:color w:val="808080" w:themeColor="background1" w:themeShade="80"/>
        </w:rPr>
        <w:t>[</w:t>
      </w:r>
      <w:r w:rsidR="00A13C3E">
        <w:rPr>
          <w:rFonts w:ascii="Segoe UI" w:hAnsi="Segoe UI" w:cs="Segoe UI"/>
          <w:color w:val="808080" w:themeColor="background1" w:themeShade="80"/>
        </w:rPr>
        <w:t>Company</w:t>
      </w:r>
      <w:r w:rsidRPr="00A13910">
        <w:rPr>
          <w:rFonts w:ascii="Segoe UI" w:hAnsi="Segoe UI" w:cs="Segoe UI"/>
          <w:color w:val="808080" w:themeColor="background1" w:themeShade="80"/>
        </w:rPr>
        <w:t xml:space="preserve"> Name] </w:t>
      </w:r>
      <w:r w:rsidR="00A13C3E">
        <w:rPr>
          <w:rFonts w:cs="Arial"/>
        </w:rPr>
        <w:t>will develop its ability to detect, prevent, minimize, and manage events that disrupt business activities, in accordance with applicable laws, regulations, and industry standards.</w:t>
      </w:r>
    </w:p>
    <w:p w14:paraId="0B85B044" w14:textId="77777777" w:rsidR="00A13910" w:rsidRPr="00A13910" w:rsidRDefault="00A13910" w:rsidP="00A13C3E">
      <w:pPr>
        <w:jc w:val="both"/>
        <w:rPr>
          <w:rFonts w:ascii="Segoe UI" w:hAnsi="Segoe UI" w:cs="Segoe UI"/>
          <w:b/>
        </w:rPr>
      </w:pPr>
      <w:r w:rsidRPr="00A13910">
        <w:rPr>
          <w:rFonts w:ascii="Segoe UI" w:hAnsi="Segoe UI" w:cs="Segoe UI"/>
          <w:b/>
        </w:rPr>
        <w:t>Derived Policy Requirements:</w:t>
      </w:r>
    </w:p>
    <w:p w14:paraId="5E515FB6" w14:textId="77777777" w:rsidR="00A13C3E" w:rsidRDefault="00A13C3E" w:rsidP="00A13C3E">
      <w:pPr>
        <w:rPr>
          <w:rFonts w:cs="Arial"/>
          <w:i/>
          <w:iCs/>
        </w:rPr>
      </w:pPr>
      <w:r>
        <w:rPr>
          <w:i/>
          <w:iCs/>
        </w:rPr>
        <w:t xml:space="preserve">Business Impact Analysis and Threat Assessments </w:t>
      </w:r>
    </w:p>
    <w:p w14:paraId="72D1ACD8" w14:textId="77777777" w:rsidR="00A13C3E" w:rsidRDefault="00A13C3E" w:rsidP="00A13C3E">
      <w:pPr>
        <w:pStyle w:val="ListParagraph"/>
        <w:numPr>
          <w:ilvl w:val="0"/>
          <w:numId w:val="42"/>
        </w:numPr>
        <w:spacing w:after="120" w:line="240" w:lineRule="auto"/>
        <w:rPr>
          <w:rFonts w:cs="Arial"/>
        </w:rPr>
      </w:pPr>
      <w:r>
        <w:rPr>
          <w:rFonts w:cs="Arial"/>
        </w:rPr>
        <w:t>A Business Impact Analysis (BIA) will be conducted at least annually for each key COMPANY location using approved BCM templates.</w:t>
      </w:r>
    </w:p>
    <w:p w14:paraId="70E0D19A" w14:textId="77777777" w:rsidR="00A13C3E" w:rsidRDefault="00A13C3E" w:rsidP="00A13C3E">
      <w:pPr>
        <w:pStyle w:val="ListParagraph"/>
        <w:numPr>
          <w:ilvl w:val="0"/>
          <w:numId w:val="42"/>
        </w:numPr>
        <w:spacing w:after="120" w:line="240" w:lineRule="auto"/>
        <w:rPr>
          <w:rFonts w:cs="Arial"/>
        </w:rPr>
      </w:pPr>
      <w:r>
        <w:rPr>
          <w:rFonts w:cs="Arial"/>
        </w:rPr>
        <w:lastRenderedPageBreak/>
        <w:t xml:space="preserve">A Threat Assessment will be completed at least every </w:t>
      </w:r>
      <w:r>
        <w:rPr>
          <w:rFonts w:cs="Arial"/>
          <w:color w:val="808080" w:themeColor="background1" w:themeShade="80"/>
        </w:rPr>
        <w:t xml:space="preserve">[interval – suggest two years] </w:t>
      </w:r>
      <w:r>
        <w:rPr>
          <w:rFonts w:cs="Arial"/>
        </w:rPr>
        <w:t>for each key COMPANY location.</w:t>
      </w:r>
    </w:p>
    <w:p w14:paraId="7BD5F9F4" w14:textId="77777777" w:rsidR="00A13C3E" w:rsidRDefault="00A13C3E" w:rsidP="00A13C3E">
      <w:pPr>
        <w:pStyle w:val="ListParagraph"/>
        <w:numPr>
          <w:ilvl w:val="0"/>
          <w:numId w:val="42"/>
        </w:numPr>
        <w:spacing w:after="120" w:line="240" w:lineRule="auto"/>
        <w:rPr>
          <w:rFonts w:cs="Arial"/>
        </w:rPr>
      </w:pPr>
      <w:r>
        <w:rPr>
          <w:rFonts w:cs="Arial"/>
        </w:rPr>
        <w:t>The BIA will be reviewed by the BCM Team and IT Management and validated to ensure alignment with the IT Disaster Recovery Plan (DRP).</w:t>
      </w:r>
    </w:p>
    <w:p w14:paraId="5AE2ECF7" w14:textId="77777777" w:rsidR="00A13C3E" w:rsidRDefault="00A13C3E" w:rsidP="00A13C3E">
      <w:pPr>
        <w:spacing w:before="240"/>
        <w:rPr>
          <w:rFonts w:cs="Arial"/>
          <w:i/>
          <w:iCs/>
        </w:rPr>
      </w:pPr>
      <w:r>
        <w:rPr>
          <w:rFonts w:cs="Arial"/>
          <w:i/>
          <w:iCs/>
        </w:rPr>
        <w:t>Business Continuity and Disaster Recovery Plans</w:t>
      </w:r>
    </w:p>
    <w:p w14:paraId="4EA9AC27" w14:textId="77777777" w:rsidR="00A13C3E" w:rsidRDefault="00A13C3E" w:rsidP="00A13C3E">
      <w:pPr>
        <w:pStyle w:val="ListParagraph"/>
        <w:numPr>
          <w:ilvl w:val="0"/>
          <w:numId w:val="42"/>
        </w:numPr>
        <w:spacing w:after="120" w:line="240" w:lineRule="auto"/>
        <w:rPr>
          <w:rFonts w:cs="Arial"/>
        </w:rPr>
      </w:pPr>
      <w:r>
        <w:rPr>
          <w:rFonts w:cs="Arial"/>
        </w:rPr>
        <w:t xml:space="preserve">Each business unit will fully document its own Business Continuity Plan (BCP) using BCP template materials. </w:t>
      </w:r>
    </w:p>
    <w:p w14:paraId="5E3E27A3" w14:textId="77777777" w:rsidR="00A13C3E" w:rsidRDefault="00A13C3E" w:rsidP="00A13C3E">
      <w:pPr>
        <w:pStyle w:val="ListParagraph"/>
        <w:numPr>
          <w:ilvl w:val="0"/>
          <w:numId w:val="42"/>
        </w:numPr>
        <w:spacing w:after="120" w:line="240" w:lineRule="auto"/>
        <w:rPr>
          <w:rFonts w:cs="Arial"/>
        </w:rPr>
      </w:pPr>
      <w:r>
        <w:rPr>
          <w:rFonts w:cs="Arial"/>
        </w:rPr>
        <w:t xml:space="preserve">Each business unit will review its BCP at least annually or when the BIA is reviewed, whichever comes first. Any changes or updates must be approved by that business unit’s management team. </w:t>
      </w:r>
    </w:p>
    <w:p w14:paraId="11837F65" w14:textId="77777777" w:rsidR="00A13C3E" w:rsidRDefault="00A13C3E" w:rsidP="00A13C3E">
      <w:pPr>
        <w:pStyle w:val="ListParagraph"/>
        <w:numPr>
          <w:ilvl w:val="0"/>
          <w:numId w:val="42"/>
        </w:numPr>
        <w:spacing w:after="120" w:line="240" w:lineRule="auto"/>
        <w:rPr>
          <w:rFonts w:cs="Arial"/>
        </w:rPr>
      </w:pPr>
      <w:r>
        <w:rPr>
          <w:rFonts w:cs="Arial"/>
        </w:rPr>
        <w:t xml:space="preserve">Business units will test their plans every </w:t>
      </w:r>
      <w:r>
        <w:rPr>
          <w:rFonts w:cs="Arial"/>
          <w:color w:val="808080" w:themeColor="background1" w:themeShade="80"/>
        </w:rPr>
        <w:t>[minimum time interval – suggest at least annually]</w:t>
      </w:r>
      <w:r>
        <w:rPr>
          <w:rFonts w:cs="Arial"/>
        </w:rPr>
        <w:t>.</w:t>
      </w:r>
      <w:r>
        <w:rPr>
          <w:rFonts w:cs="Arial"/>
          <w:color w:val="808080"/>
        </w:rPr>
        <w:t xml:space="preserve"> </w:t>
      </w:r>
    </w:p>
    <w:p w14:paraId="7CBAFDBC" w14:textId="77777777" w:rsidR="00A13C3E" w:rsidRDefault="00A13C3E" w:rsidP="00A13C3E">
      <w:pPr>
        <w:pStyle w:val="ListParagraph"/>
        <w:numPr>
          <w:ilvl w:val="0"/>
          <w:numId w:val="42"/>
        </w:numPr>
        <w:spacing w:after="120" w:line="240" w:lineRule="auto"/>
        <w:rPr>
          <w:rFonts w:cs="Arial"/>
        </w:rPr>
      </w:pPr>
      <w:r>
        <w:rPr>
          <w:rFonts w:cs="Arial"/>
        </w:rPr>
        <w:t>IT Management is responsible for DRP documentation for each IT service, system, and application.</w:t>
      </w:r>
    </w:p>
    <w:p w14:paraId="2CA51068" w14:textId="77777777" w:rsidR="00A13C3E" w:rsidRDefault="00A13C3E" w:rsidP="00A13C3E">
      <w:pPr>
        <w:pStyle w:val="ListParagraph"/>
        <w:numPr>
          <w:ilvl w:val="0"/>
          <w:numId w:val="42"/>
        </w:numPr>
        <w:spacing w:after="120" w:line="240" w:lineRule="auto"/>
        <w:rPr>
          <w:rFonts w:cs="Arial"/>
        </w:rPr>
      </w:pPr>
      <w:r>
        <w:rPr>
          <w:rFonts w:cs="Arial"/>
        </w:rPr>
        <w:t xml:space="preserve">The full IT DRP will be reviewed at least </w:t>
      </w:r>
      <w:r>
        <w:rPr>
          <w:rFonts w:cs="Arial"/>
          <w:color w:val="808080" w:themeColor="background1" w:themeShade="80"/>
        </w:rPr>
        <w:t>[interval – suggest annually]</w:t>
      </w:r>
      <w:r>
        <w:rPr>
          <w:rFonts w:cs="Arial"/>
        </w:rPr>
        <w:t xml:space="preserve">. The BIA and DRP documentation will be revisited and updated as required by change management processes. </w:t>
      </w:r>
    </w:p>
    <w:p w14:paraId="53732A0A" w14:textId="77777777" w:rsidR="00A13C3E" w:rsidRDefault="00A13C3E" w:rsidP="00A13C3E">
      <w:pPr>
        <w:pStyle w:val="ListParagraph"/>
        <w:numPr>
          <w:ilvl w:val="0"/>
          <w:numId w:val="42"/>
        </w:numPr>
        <w:spacing w:after="120" w:line="240" w:lineRule="auto"/>
        <w:rPr>
          <w:rFonts w:cs="Arial"/>
        </w:rPr>
      </w:pPr>
      <w:r>
        <w:rPr>
          <w:rFonts w:cs="Arial"/>
        </w:rPr>
        <w:t xml:space="preserve">IT will test the DR recovery plan every </w:t>
      </w:r>
      <w:r>
        <w:rPr>
          <w:rFonts w:cs="Arial"/>
          <w:color w:val="808080" w:themeColor="background1" w:themeShade="80"/>
        </w:rPr>
        <w:t>[minimum time interval – suggest at least annually]</w:t>
      </w:r>
      <w:r>
        <w:rPr>
          <w:rFonts w:cs="Arial"/>
        </w:rPr>
        <w:t>.</w:t>
      </w:r>
      <w:r>
        <w:rPr>
          <w:rFonts w:cs="Arial"/>
          <w:color w:val="808080" w:themeColor="background1" w:themeShade="80"/>
        </w:rPr>
        <w:t xml:space="preserve"> </w:t>
      </w:r>
    </w:p>
    <w:p w14:paraId="0420ADAF" w14:textId="77777777" w:rsidR="00A13C3E" w:rsidRDefault="00A13C3E" w:rsidP="00A13C3E">
      <w:pPr>
        <w:spacing w:before="240"/>
        <w:rPr>
          <w:rFonts w:cs="Arial"/>
        </w:rPr>
      </w:pPr>
      <w:r>
        <w:rPr>
          <w:rFonts w:cs="Arial"/>
          <w:i/>
          <w:iCs/>
        </w:rPr>
        <w:t>Incident Escalation and Crisis Management</w:t>
      </w:r>
    </w:p>
    <w:p w14:paraId="74B3C333" w14:textId="77777777" w:rsidR="00A13C3E" w:rsidRDefault="00A13C3E" w:rsidP="00A13C3E">
      <w:pPr>
        <w:pStyle w:val="ListParagraph"/>
        <w:numPr>
          <w:ilvl w:val="0"/>
          <w:numId w:val="42"/>
        </w:numPr>
        <w:spacing w:after="120" w:line="240" w:lineRule="auto"/>
        <w:rPr>
          <w:rFonts w:cs="Arial"/>
        </w:rPr>
      </w:pPr>
      <w:r>
        <w:rPr>
          <w:color w:val="808080" w:themeColor="background1" w:themeShade="80"/>
        </w:rPr>
        <w:t xml:space="preserve">[Client Name] </w:t>
      </w:r>
      <w:r>
        <w:rPr>
          <w:rFonts w:cs="Arial"/>
        </w:rPr>
        <w:t>will establish a company-wide Core Crisis Management Team (CCMT) and Crisis Management Plan (CMP) that will operate from COMPANY global headquarters.</w:t>
      </w:r>
    </w:p>
    <w:p w14:paraId="2F54774F" w14:textId="77777777" w:rsidR="00A13C3E" w:rsidRDefault="00A13C3E" w:rsidP="00A13C3E">
      <w:pPr>
        <w:pStyle w:val="ListParagraph"/>
        <w:numPr>
          <w:ilvl w:val="0"/>
          <w:numId w:val="42"/>
        </w:numPr>
        <w:spacing w:after="120" w:line="240" w:lineRule="auto"/>
        <w:rPr>
          <w:rFonts w:cs="Arial"/>
        </w:rPr>
      </w:pPr>
      <w:r>
        <w:rPr>
          <w:rFonts w:cs="Arial"/>
        </w:rPr>
        <w:t xml:space="preserve">Each global subsidiary of </w:t>
      </w:r>
      <w:r>
        <w:rPr>
          <w:color w:val="808080" w:themeColor="background1" w:themeShade="80"/>
        </w:rPr>
        <w:t xml:space="preserve">[Client Name] </w:t>
      </w:r>
      <w:r>
        <w:rPr>
          <w:rFonts w:cs="Arial"/>
        </w:rPr>
        <w:t xml:space="preserve">will establish an Operational Crisis Management Team and CMP to identify, assess, and manage regional crises. </w:t>
      </w:r>
    </w:p>
    <w:p w14:paraId="5671EE3C" w14:textId="77777777" w:rsidR="00A13C3E" w:rsidRDefault="00A13C3E" w:rsidP="00A13C3E">
      <w:pPr>
        <w:pStyle w:val="ListParagraph"/>
        <w:numPr>
          <w:ilvl w:val="0"/>
          <w:numId w:val="42"/>
        </w:numPr>
        <w:spacing w:after="120" w:line="240" w:lineRule="auto"/>
        <w:rPr>
          <w:rFonts w:cs="Arial"/>
        </w:rPr>
      </w:pPr>
      <w:r>
        <w:rPr>
          <w:rFonts w:cs="Arial"/>
        </w:rPr>
        <w:t>Each CMP will identify participants, communications methods, and primary and alternate command centers.</w:t>
      </w:r>
    </w:p>
    <w:p w14:paraId="6BCD5A26" w14:textId="77777777" w:rsidR="00A13C3E" w:rsidRDefault="00A13C3E" w:rsidP="00A13C3E">
      <w:pPr>
        <w:pStyle w:val="ListParagraph"/>
        <w:numPr>
          <w:ilvl w:val="0"/>
          <w:numId w:val="42"/>
        </w:numPr>
        <w:spacing w:after="120" w:line="240" w:lineRule="auto"/>
        <w:rPr>
          <w:rFonts w:cs="Arial"/>
        </w:rPr>
      </w:pPr>
      <w:r>
        <w:rPr>
          <w:rFonts w:cs="Arial"/>
        </w:rPr>
        <w:t>The BCM Team will define the incident escalation process and will set trigger levels for invoking BCPs and DRPs.</w:t>
      </w:r>
    </w:p>
    <w:p w14:paraId="4008424A" w14:textId="77777777" w:rsidR="00A13C3E" w:rsidRDefault="00A13C3E" w:rsidP="00A13C3E">
      <w:pPr>
        <w:pStyle w:val="ListParagraph"/>
        <w:numPr>
          <w:ilvl w:val="0"/>
          <w:numId w:val="42"/>
        </w:numPr>
        <w:spacing w:after="120" w:line="240" w:lineRule="auto"/>
        <w:rPr>
          <w:rFonts w:cs="Arial"/>
        </w:rPr>
      </w:pPr>
      <w:r>
        <w:rPr>
          <w:rFonts w:cs="Arial"/>
        </w:rPr>
        <w:t>The BCM Team will establish and define the Crisis Management Governance Structure and will have it approved by the Enterprise Risk Committee.</w:t>
      </w:r>
    </w:p>
    <w:p w14:paraId="17E3ECAC" w14:textId="77777777" w:rsidR="00A13C3E" w:rsidRDefault="00A13C3E" w:rsidP="00A13C3E">
      <w:pPr>
        <w:pStyle w:val="ListParagraph"/>
        <w:numPr>
          <w:ilvl w:val="0"/>
          <w:numId w:val="42"/>
        </w:numPr>
        <w:spacing w:after="120" w:line="240" w:lineRule="auto"/>
        <w:rPr>
          <w:rFonts w:cs="Arial"/>
        </w:rPr>
      </w:pPr>
      <w:r>
        <w:rPr>
          <w:rFonts w:cs="Arial"/>
        </w:rPr>
        <w:t xml:space="preserve">All </w:t>
      </w:r>
      <w:r>
        <w:rPr>
          <w:color w:val="808080" w:themeColor="background1" w:themeShade="80"/>
        </w:rPr>
        <w:t xml:space="preserve">[Client Name] </w:t>
      </w:r>
      <w:r>
        <w:rPr>
          <w:rFonts w:cs="Arial"/>
        </w:rPr>
        <w:t>premises will have a formal building evacuation plan. The evacuation plan will be tested at predetermined intervals.</w:t>
      </w:r>
    </w:p>
    <w:p w14:paraId="1DFB4985" w14:textId="77777777" w:rsidR="00A13C3E" w:rsidRDefault="00A13C3E" w:rsidP="00A13C3E">
      <w:pPr>
        <w:pStyle w:val="ListParagraph"/>
        <w:numPr>
          <w:ilvl w:val="0"/>
          <w:numId w:val="41"/>
        </w:numPr>
        <w:spacing w:after="120" w:line="240" w:lineRule="auto"/>
        <w:rPr>
          <w:rFonts w:cs="Arial"/>
        </w:rPr>
      </w:pPr>
      <w:r>
        <w:rPr>
          <w:rFonts w:cs="Arial"/>
        </w:rPr>
        <w:t>Other plans (pandemic plans, facilities plan, etc.) will be created as appropriate by the respective business units.</w:t>
      </w:r>
    </w:p>
    <w:p w14:paraId="22903171" w14:textId="4C402E49" w:rsidR="004A5B92" w:rsidRPr="00A13910" w:rsidRDefault="00A13C3E" w:rsidP="00A13C3E">
      <w:pPr>
        <w:pStyle w:val="ListParagraph"/>
        <w:numPr>
          <w:ilvl w:val="0"/>
          <w:numId w:val="42"/>
        </w:numPr>
        <w:spacing w:after="120" w:line="240" w:lineRule="auto"/>
        <w:contextualSpacing w:val="0"/>
        <w:jc w:val="both"/>
        <w:rPr>
          <w:rFonts w:ascii="Segoe UI" w:hAnsi="Segoe UI" w:cs="Segoe UI"/>
        </w:rPr>
      </w:pPr>
      <w:r>
        <w:rPr>
          <w:rFonts w:cs="Arial"/>
        </w:rPr>
        <w:t>The Communications Department will be responsible for the creation and maintenance of the Crisis Communications Plan. The Crisis Communications Plan will be activated as needed by the Crisis Management Team.</w:t>
      </w:r>
    </w:p>
    <w:p w14:paraId="54455429" w14:textId="53BC3DE9" w:rsidR="00A13C3E" w:rsidRDefault="00A13C3E">
      <w:pPr>
        <w:pStyle w:val="Heading2"/>
        <w:numPr>
          <w:ilvl w:val="0"/>
          <w:numId w:val="5"/>
        </w:numPr>
        <w:spacing w:before="240"/>
        <w:ind w:left="360"/>
        <w:rPr>
          <w:rStyle w:val="Heading1Char"/>
          <w:rFonts w:ascii="Roboto" w:hAnsi="Roboto" w:cs="Open Sans"/>
          <w:b/>
          <w:color w:val="283372"/>
        </w:rPr>
      </w:pPr>
      <w:bookmarkStart w:id="31" w:name="_Toc130468631"/>
      <w:r>
        <w:rPr>
          <w:rStyle w:val="Heading1Char"/>
          <w:rFonts w:ascii="Roboto" w:hAnsi="Roboto" w:cs="Open Sans"/>
          <w:b/>
          <w:color w:val="283372"/>
        </w:rPr>
        <w:t>Roles and Responsibilities</w:t>
      </w:r>
      <w:bookmarkEnd w:id="31"/>
    </w:p>
    <w:p w14:paraId="66DD997B" w14:textId="77777777" w:rsidR="00A13C3E" w:rsidRDefault="00A13C3E" w:rsidP="00A13C3E">
      <w:pPr>
        <w:pStyle w:val="ListParagraph"/>
        <w:numPr>
          <w:ilvl w:val="0"/>
          <w:numId w:val="42"/>
        </w:numPr>
        <w:spacing w:after="120" w:line="240" w:lineRule="auto"/>
        <w:rPr>
          <w:rFonts w:cs="Arial"/>
        </w:rPr>
      </w:pPr>
      <w:r>
        <w:rPr>
          <w:rFonts w:cs="Arial"/>
        </w:rPr>
        <w:t xml:space="preserve">The </w:t>
      </w:r>
      <w:r>
        <w:rPr>
          <w:color w:val="808080" w:themeColor="background1" w:themeShade="80"/>
        </w:rPr>
        <w:t xml:space="preserve">[Client Name] </w:t>
      </w:r>
      <w:r>
        <w:rPr>
          <w:rFonts w:cs="Arial"/>
          <w:b/>
          <w:bCs/>
        </w:rPr>
        <w:t>Board of Directors</w:t>
      </w:r>
      <w:r>
        <w:rPr>
          <w:rFonts w:cs="Arial"/>
        </w:rPr>
        <w:t xml:space="preserve"> is accountable for </w:t>
      </w:r>
      <w:r>
        <w:rPr>
          <w:color w:val="808080" w:themeColor="background1" w:themeShade="80"/>
        </w:rPr>
        <w:t xml:space="preserve">[Client Name] </w:t>
      </w:r>
      <w:r>
        <w:rPr>
          <w:rFonts w:cs="Arial"/>
        </w:rPr>
        <w:t>BCM program.</w:t>
      </w:r>
    </w:p>
    <w:p w14:paraId="5E55FE58" w14:textId="77777777" w:rsidR="00A13C3E" w:rsidRDefault="00A13C3E" w:rsidP="00A13C3E">
      <w:pPr>
        <w:pStyle w:val="ListParagraph"/>
        <w:numPr>
          <w:ilvl w:val="0"/>
          <w:numId w:val="42"/>
        </w:numPr>
        <w:spacing w:after="120" w:line="240" w:lineRule="auto"/>
        <w:rPr>
          <w:rFonts w:cs="Arial"/>
        </w:rPr>
      </w:pPr>
      <w:r>
        <w:rPr>
          <w:rFonts w:cs="Arial"/>
        </w:rPr>
        <w:t xml:space="preserve">The </w:t>
      </w:r>
      <w:r>
        <w:rPr>
          <w:color w:val="808080" w:themeColor="background1" w:themeShade="80"/>
        </w:rPr>
        <w:t xml:space="preserve">[Client Name] </w:t>
      </w:r>
      <w:r>
        <w:rPr>
          <w:rFonts w:cs="Arial"/>
          <w:b/>
          <w:bCs/>
        </w:rPr>
        <w:t>Business Continuity Management Committee</w:t>
      </w:r>
      <w:r>
        <w:rPr>
          <w:rFonts w:cs="Arial"/>
        </w:rPr>
        <w:t xml:space="preserve"> (BCM Committee) will advise Executive Management and management team members on BCM. The BCM </w:t>
      </w:r>
      <w:r>
        <w:rPr>
          <w:rFonts w:cs="Arial"/>
        </w:rPr>
        <w:lastRenderedPageBreak/>
        <w:t xml:space="preserve">Committee will define and recommend investments in business continuity based on </w:t>
      </w:r>
      <w:r>
        <w:rPr>
          <w:color w:val="808080" w:themeColor="background1" w:themeShade="80"/>
        </w:rPr>
        <w:t xml:space="preserve">[Client Name] </w:t>
      </w:r>
      <w:r>
        <w:rPr>
          <w:rFonts w:cs="Arial"/>
        </w:rPr>
        <w:t xml:space="preserve">risk profile. </w:t>
      </w:r>
    </w:p>
    <w:p w14:paraId="240B4DB6" w14:textId="77777777" w:rsidR="00A13C3E" w:rsidRDefault="00A13C3E" w:rsidP="00A13C3E">
      <w:pPr>
        <w:pStyle w:val="ListParagraph"/>
        <w:numPr>
          <w:ilvl w:val="0"/>
          <w:numId w:val="42"/>
        </w:numPr>
        <w:spacing w:after="120" w:line="240" w:lineRule="auto"/>
        <w:rPr>
          <w:rFonts w:cs="Arial"/>
        </w:rPr>
      </w:pPr>
      <w:r>
        <w:rPr>
          <w:rFonts w:cs="Arial"/>
          <w:b/>
          <w:bCs/>
        </w:rPr>
        <w:t>Executive Management</w:t>
      </w:r>
      <w:r>
        <w:rPr>
          <w:rFonts w:cs="Arial"/>
        </w:rPr>
        <w:t xml:space="preserve"> (headed by the Chief Executive) is responsible for oversight of the COMPANY BCM program and will:</w:t>
      </w:r>
    </w:p>
    <w:p w14:paraId="60B10D7E" w14:textId="77777777" w:rsidR="00A13C3E" w:rsidRDefault="00A13C3E" w:rsidP="00A13C3E">
      <w:pPr>
        <w:pStyle w:val="ListParagraph"/>
        <w:numPr>
          <w:ilvl w:val="1"/>
          <w:numId w:val="42"/>
        </w:numPr>
        <w:spacing w:after="120" w:line="240" w:lineRule="auto"/>
        <w:rPr>
          <w:rFonts w:cs="Arial"/>
        </w:rPr>
      </w:pPr>
      <w:r>
        <w:rPr>
          <w:rFonts w:cs="Arial"/>
        </w:rPr>
        <w:t>Implement strategies and policies approved by the BCM Committee</w:t>
      </w:r>
    </w:p>
    <w:p w14:paraId="035F7477" w14:textId="77777777" w:rsidR="00A13C3E" w:rsidRDefault="00A13C3E" w:rsidP="00A13C3E">
      <w:pPr>
        <w:pStyle w:val="ListParagraph"/>
        <w:numPr>
          <w:ilvl w:val="1"/>
          <w:numId w:val="42"/>
        </w:numPr>
        <w:spacing w:after="120" w:line="240" w:lineRule="auto"/>
        <w:rPr>
          <w:rFonts w:cs="Arial"/>
        </w:rPr>
      </w:pPr>
      <w:r>
        <w:rPr>
          <w:rFonts w:cs="Arial"/>
        </w:rPr>
        <w:t xml:space="preserve">Ensure roles and responsibilities for BCM are clearly defined within all business </w:t>
      </w:r>
      <w:proofErr w:type="gramStart"/>
      <w:r>
        <w:rPr>
          <w:rFonts w:cs="Arial"/>
        </w:rPr>
        <w:t>units</w:t>
      </w:r>
      <w:proofErr w:type="gramEnd"/>
    </w:p>
    <w:p w14:paraId="0003BCF8" w14:textId="77777777" w:rsidR="00A13C3E" w:rsidRDefault="00A13C3E" w:rsidP="00A13C3E">
      <w:pPr>
        <w:pStyle w:val="ListParagraph"/>
        <w:numPr>
          <w:ilvl w:val="1"/>
          <w:numId w:val="42"/>
        </w:numPr>
        <w:spacing w:after="120" w:line="240" w:lineRule="auto"/>
        <w:rPr>
          <w:rFonts w:cs="Arial"/>
        </w:rPr>
      </w:pPr>
      <w:r>
        <w:rPr>
          <w:rFonts w:cs="Arial"/>
        </w:rPr>
        <w:t>Endorse and fund business continuity activities.</w:t>
      </w:r>
    </w:p>
    <w:p w14:paraId="2A75315D" w14:textId="77777777" w:rsidR="00A13C3E" w:rsidRDefault="00A13C3E" w:rsidP="00A13C3E">
      <w:pPr>
        <w:pStyle w:val="ListParagraph"/>
        <w:numPr>
          <w:ilvl w:val="1"/>
          <w:numId w:val="42"/>
        </w:numPr>
        <w:spacing w:after="120" w:line="240" w:lineRule="auto"/>
        <w:rPr>
          <w:rFonts w:cs="Arial"/>
        </w:rPr>
      </w:pPr>
      <w:r>
        <w:rPr>
          <w:rFonts w:cs="Arial"/>
        </w:rPr>
        <w:t xml:space="preserve">Ensure COMPANY remains compliant with all applicable legal, regulatory, and industry related BCM </w:t>
      </w:r>
      <w:proofErr w:type="gramStart"/>
      <w:r>
        <w:rPr>
          <w:rFonts w:cs="Arial"/>
        </w:rPr>
        <w:t>requirements</w:t>
      </w:r>
      <w:proofErr w:type="gramEnd"/>
    </w:p>
    <w:p w14:paraId="6CF38A43" w14:textId="77777777" w:rsidR="00A13C3E" w:rsidRDefault="00A13C3E" w:rsidP="00A13C3E">
      <w:pPr>
        <w:pStyle w:val="ListParagraph"/>
        <w:numPr>
          <w:ilvl w:val="0"/>
          <w:numId w:val="42"/>
        </w:numPr>
        <w:spacing w:after="120" w:line="240" w:lineRule="auto"/>
        <w:rPr>
          <w:rFonts w:cs="Arial"/>
        </w:rPr>
      </w:pPr>
      <w:r>
        <w:rPr>
          <w:rFonts w:cs="Arial"/>
          <w:b/>
          <w:bCs/>
        </w:rPr>
        <w:t>Management</w:t>
      </w:r>
      <w:r>
        <w:rPr>
          <w:rFonts w:cs="Arial"/>
        </w:rPr>
        <w:t xml:space="preserve">, at all levels, must understand their tasks and responsibilities in the </w:t>
      </w:r>
      <w:r>
        <w:rPr>
          <w:color w:val="808080" w:themeColor="background1" w:themeShade="80"/>
        </w:rPr>
        <w:t xml:space="preserve">[Client Name] </w:t>
      </w:r>
      <w:r>
        <w:rPr>
          <w:rFonts w:cs="Arial"/>
        </w:rPr>
        <w:t>Business Continuity Plan. Managers responsible for business activities will establish the extent and nature of required business continuity measures and mitigations.</w:t>
      </w:r>
    </w:p>
    <w:p w14:paraId="560C0CF5" w14:textId="77777777" w:rsidR="00A13C3E" w:rsidRDefault="00A13C3E" w:rsidP="00A13C3E">
      <w:pPr>
        <w:pStyle w:val="ListParagraph"/>
        <w:numPr>
          <w:ilvl w:val="0"/>
          <w:numId w:val="42"/>
        </w:numPr>
        <w:spacing w:after="120" w:line="240" w:lineRule="auto"/>
        <w:rPr>
          <w:rFonts w:cs="Arial"/>
        </w:rPr>
      </w:pPr>
      <w:r>
        <w:rPr>
          <w:rFonts w:cs="Arial"/>
        </w:rPr>
        <w:t xml:space="preserve">A </w:t>
      </w:r>
      <w:r>
        <w:rPr>
          <w:rFonts w:cs="Arial"/>
          <w:b/>
          <w:bCs/>
        </w:rPr>
        <w:t>BC Coordinator</w:t>
      </w:r>
      <w:r>
        <w:rPr>
          <w:rFonts w:cs="Arial"/>
        </w:rPr>
        <w:t xml:space="preserve"> will be appointed for each business unit. Business continuity activities will be included in the performance measures and job description of each coordinator. The BC Coordinator will:</w:t>
      </w:r>
    </w:p>
    <w:p w14:paraId="275A08B8" w14:textId="77777777" w:rsidR="00A13C3E" w:rsidRDefault="00A13C3E" w:rsidP="00A13C3E">
      <w:pPr>
        <w:pStyle w:val="ListParagraph"/>
        <w:numPr>
          <w:ilvl w:val="1"/>
          <w:numId w:val="42"/>
        </w:numPr>
        <w:spacing w:after="120" w:line="240" w:lineRule="auto"/>
        <w:rPr>
          <w:rFonts w:cs="Arial"/>
        </w:rPr>
      </w:pPr>
      <w:r>
        <w:rPr>
          <w:rFonts w:cs="Arial"/>
        </w:rPr>
        <w:t>Implement and communicate the BCM program.</w:t>
      </w:r>
    </w:p>
    <w:p w14:paraId="440D3C08" w14:textId="77777777" w:rsidR="00A13C3E" w:rsidRDefault="00A13C3E" w:rsidP="00A13C3E">
      <w:pPr>
        <w:pStyle w:val="ListParagraph"/>
        <w:numPr>
          <w:ilvl w:val="1"/>
          <w:numId w:val="42"/>
        </w:numPr>
        <w:spacing w:after="120" w:line="240" w:lineRule="auto"/>
        <w:rPr>
          <w:rFonts w:cs="Arial"/>
        </w:rPr>
      </w:pPr>
      <w:r>
        <w:rPr>
          <w:rFonts w:cs="Arial"/>
        </w:rPr>
        <w:t>Report BC readiness to the BCM Team</w:t>
      </w:r>
    </w:p>
    <w:p w14:paraId="77A00814" w14:textId="4AC4D9CB" w:rsidR="00A13C3E" w:rsidRPr="00A13C3E" w:rsidRDefault="00A13C3E" w:rsidP="00A13C3E">
      <w:r w:rsidRPr="00D2252A">
        <w:rPr>
          <w:rFonts w:cs="Arial"/>
          <w:color w:val="000000" w:themeColor="text1"/>
        </w:rPr>
        <w:t>All Staff must understand their role and responsibilities in Business Continuity Management. Staff will observe, support, and incorporate procedure and process changes related to BCM as required.</w:t>
      </w:r>
    </w:p>
    <w:p w14:paraId="08D9FC80" w14:textId="4AFFD96F"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32" w:name="_Toc130468632"/>
      <w:r>
        <w:rPr>
          <w:rStyle w:val="Heading1Char"/>
          <w:rFonts w:ascii="Roboto" w:hAnsi="Roboto" w:cs="Open Sans"/>
          <w:b/>
          <w:color w:val="283372"/>
        </w:rPr>
        <w:t>Non-compliance</w:t>
      </w:r>
      <w:bookmarkEnd w:id="32"/>
    </w:p>
    <w:p w14:paraId="0320722B" w14:textId="77777777" w:rsidR="00A13910" w:rsidRPr="00A13910" w:rsidRDefault="00A13910" w:rsidP="00A13910">
      <w:pPr>
        <w:jc w:val="both"/>
        <w:rPr>
          <w:rFonts w:ascii="Segoe UI" w:hAnsi="Segoe UI" w:cs="Segoe UI"/>
          <w:color w:val="808080"/>
        </w:rPr>
      </w:pPr>
      <w:r w:rsidRPr="00A13910">
        <w:rPr>
          <w:rFonts w:ascii="Segoe UI" w:hAnsi="Segoe UI" w:cs="Segoe UI"/>
          <w:color w:val="808080"/>
        </w:rPr>
        <w:t>Clearly describe consequences (legal and/or disciplinary) for employee noncompliance with the policy. It may be pertinent to describe the escalation process for repeated noncompliance.</w:t>
      </w:r>
    </w:p>
    <w:p w14:paraId="0EC87D44" w14:textId="77777777" w:rsidR="00A13910" w:rsidRPr="00A13910" w:rsidRDefault="00A13910" w:rsidP="00A13910">
      <w:pPr>
        <w:jc w:val="both"/>
        <w:rPr>
          <w:rFonts w:ascii="Segoe UI" w:hAnsi="Segoe UI" w:cs="Segoe UI"/>
          <w:color w:val="000000" w:themeColor="text1"/>
        </w:rPr>
      </w:pPr>
      <w:r w:rsidRPr="00A13910">
        <w:rPr>
          <w:rFonts w:ascii="Segoe UI" w:hAnsi="Segoe UI" w:cs="Segoe UI"/>
          <w:color w:val="000000" w:themeColor="text1"/>
        </w:rPr>
        <w:t xml:space="preserve">Violations of this policy will be treated like other allegations of wrongdoing at </w:t>
      </w:r>
      <w:r w:rsidRPr="00A13910">
        <w:rPr>
          <w:rFonts w:ascii="Segoe UI" w:hAnsi="Segoe UI" w:cs="Segoe UI"/>
          <w:color w:val="808080" w:themeColor="background1" w:themeShade="80"/>
        </w:rPr>
        <w:t>[Client Name]</w:t>
      </w:r>
      <w:r w:rsidRPr="00A13910">
        <w:rPr>
          <w:rFonts w:ascii="Segoe UI" w:hAnsi="Segoe UI" w:cs="Segoe UI"/>
          <w:color w:val="000000" w:themeColor="text1"/>
        </w:rPr>
        <w:t>. Allegations of misconduct will be adjudicated according to established procedures. Sanctions for noncompliance may include, but are not limited to, one or more of the following:</w:t>
      </w:r>
    </w:p>
    <w:p w14:paraId="3C7A6289" w14:textId="77777777" w:rsidR="00A13910" w:rsidRPr="00A13910" w:rsidRDefault="00A13910" w:rsidP="00A13910">
      <w:pPr>
        <w:pStyle w:val="ListNumber2"/>
        <w:tabs>
          <w:tab w:val="clear" w:pos="643"/>
          <w:tab w:val="num" w:pos="720"/>
        </w:tabs>
        <w:spacing w:after="120" w:line="240" w:lineRule="auto"/>
        <w:ind w:left="720"/>
        <w:contextualSpacing w:val="0"/>
        <w:jc w:val="both"/>
        <w:rPr>
          <w:rFonts w:ascii="Segoe UI" w:hAnsi="Segoe UI" w:cs="Segoe UI"/>
          <w:color w:val="000000" w:themeColor="text1"/>
          <w:sz w:val="20"/>
          <w:szCs w:val="20"/>
        </w:rPr>
      </w:pPr>
      <w:r w:rsidRPr="00A13910">
        <w:rPr>
          <w:rFonts w:ascii="Segoe UI" w:hAnsi="Segoe UI" w:cs="Segoe UI"/>
          <w:color w:val="000000" w:themeColor="text1"/>
          <w:sz w:val="20"/>
          <w:szCs w:val="20"/>
        </w:rPr>
        <w:t xml:space="preserve">Disciplinary action according to applicable </w:t>
      </w:r>
      <w:r w:rsidRPr="00A13910">
        <w:rPr>
          <w:rFonts w:ascii="Segoe UI" w:hAnsi="Segoe UI" w:cs="Segoe UI"/>
          <w:color w:val="808080" w:themeColor="background1" w:themeShade="80"/>
          <w:sz w:val="20"/>
          <w:szCs w:val="20"/>
        </w:rPr>
        <w:t xml:space="preserve">[Client Name] </w:t>
      </w:r>
      <w:r w:rsidRPr="00A13910">
        <w:rPr>
          <w:rFonts w:ascii="Segoe UI" w:hAnsi="Segoe UI" w:cs="Segoe UI"/>
          <w:color w:val="000000" w:themeColor="text1"/>
          <w:sz w:val="20"/>
          <w:szCs w:val="20"/>
        </w:rPr>
        <w:t>policies</w:t>
      </w:r>
    </w:p>
    <w:p w14:paraId="7CD8AC45" w14:textId="77777777" w:rsidR="00A13910"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Termination of employment</w:t>
      </w:r>
    </w:p>
    <w:p w14:paraId="1942CBC5" w14:textId="09D99FEB" w:rsidR="004A5B92"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Legal action according to applicable laws and contractual agreements</w:t>
      </w:r>
    </w:p>
    <w:sectPr w:rsidR="004A5B92" w:rsidRPr="00A13910" w:rsidSect="007E7236">
      <w:headerReference w:type="default" r:id="rId14"/>
      <w:footerReference w:type="default" r:id="rId15"/>
      <w:pgSz w:w="12240" w:h="15840"/>
      <w:pgMar w:top="1440" w:right="1440" w:bottom="1440" w:left="1440" w:header="576"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EE1" w14:textId="77777777" w:rsidR="00B2706F" w:rsidRDefault="00B2706F" w:rsidP="00DE73ED">
      <w:pPr>
        <w:spacing w:after="0" w:line="240" w:lineRule="auto"/>
      </w:pPr>
      <w:r>
        <w:separator/>
      </w:r>
    </w:p>
  </w:endnote>
  <w:endnote w:type="continuationSeparator" w:id="0">
    <w:p w14:paraId="153D986D" w14:textId="77777777" w:rsidR="00B2706F" w:rsidRDefault="00B2706F" w:rsidP="00DE73ED">
      <w:pPr>
        <w:spacing w:after="0" w:line="240" w:lineRule="auto"/>
      </w:pPr>
      <w:r>
        <w:continuationSeparator/>
      </w:r>
    </w:p>
  </w:endnote>
  <w:endnote w:type="continuationNotice" w:id="1">
    <w:p w14:paraId="6BC609F1" w14:textId="77777777" w:rsidR="00987BE0" w:rsidRDefault="00987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09291"/>
      <w:docPartObj>
        <w:docPartGallery w:val="Page Numbers (Bottom of Page)"/>
        <w:docPartUnique/>
      </w:docPartObj>
    </w:sdtPr>
    <w:sdtEndPr>
      <w:rPr>
        <w:noProof/>
      </w:rPr>
    </w:sdtEndPr>
    <w:sdtContent>
      <w:p w14:paraId="16DB9F67" w14:textId="09DA9059" w:rsidR="008D6CEE" w:rsidRPr="009A0FFC" w:rsidRDefault="0071398A" w:rsidP="00FA6B2F">
        <w:pPr>
          <w:pBdr>
            <w:top w:val="single" w:sz="4" w:space="1" w:color="auto"/>
          </w:pBdr>
          <w:rPr>
            <w:rFonts w:ascii="Segoe UI" w:hAnsi="Segoe UI" w:cs="Segoe UI"/>
            <w:sz w:val="16"/>
            <w:szCs w:val="16"/>
          </w:rPr>
        </w:pPr>
        <w:r>
          <w:fldChar w:fldCharType="begin"/>
        </w:r>
        <w:r>
          <w:instrText xml:space="preserve"> PAGE   \* MERGEFORMAT </w:instrText>
        </w:r>
        <w:r>
          <w:fldChar w:fldCharType="separate"/>
        </w:r>
        <w:r>
          <w:rPr>
            <w:noProof/>
          </w:rPr>
          <w:t>2</w:t>
        </w:r>
        <w:r>
          <w:rPr>
            <w:noProof/>
          </w:rPr>
          <w:fldChar w:fldCharType="end"/>
        </w:r>
        <w:r w:rsidR="008D6CEE">
          <w:rPr>
            <w:noProof/>
          </w:rPr>
          <w:t xml:space="preserve">                             </w:t>
        </w:r>
        <w:r w:rsidR="008D6CEE" w:rsidRPr="009A0FFC">
          <w:rPr>
            <w:rFonts w:ascii="Segoe UI" w:hAnsi="Segoe UI" w:cs="Segoe UI"/>
            <w:sz w:val="16"/>
            <w:szCs w:val="16"/>
          </w:rPr>
          <w:t>Copyright © 202</w:t>
        </w:r>
        <w:r w:rsidR="00180255">
          <w:rPr>
            <w:rFonts w:ascii="Segoe UI" w:hAnsi="Segoe UI" w:cs="Segoe UI"/>
            <w:sz w:val="16"/>
            <w:szCs w:val="16"/>
          </w:rPr>
          <w:t>3</w:t>
        </w:r>
        <w:r w:rsidR="008D6CEE" w:rsidRPr="009A0FFC">
          <w:rPr>
            <w:rFonts w:ascii="Segoe UI" w:hAnsi="Segoe UI" w:cs="Segoe UI"/>
            <w:sz w:val="16"/>
            <w:szCs w:val="16"/>
          </w:rPr>
          <w:t xml:space="preserve"> GS</w:t>
        </w:r>
        <w:r w:rsidR="00E17274">
          <w:rPr>
            <w:rFonts w:ascii="Segoe UI" w:hAnsi="Segoe UI" w:cs="Segoe UI"/>
            <w:sz w:val="16"/>
            <w:szCs w:val="16"/>
          </w:rPr>
          <w:t xml:space="preserve"> L</w:t>
        </w:r>
        <w:r w:rsidR="008D6CEE" w:rsidRPr="009A0FFC">
          <w:rPr>
            <w:rFonts w:ascii="Segoe UI" w:hAnsi="Segoe UI" w:cs="Segoe UI"/>
            <w:sz w:val="16"/>
            <w:szCs w:val="16"/>
          </w:rPr>
          <w:t>ab and / or GAVS as applicable.</w:t>
        </w:r>
        <w:r w:rsidR="008D6CEE" w:rsidRPr="009A0FFC">
          <w:rPr>
            <w:rFonts w:ascii="Segoe UI" w:eastAsiaTheme="minorEastAsia" w:hAnsi="Segoe UI" w:cs="Segoe UI"/>
            <w:color w:val="283372"/>
            <w:kern w:val="24"/>
            <w:sz w:val="24"/>
            <w:szCs w:val="24"/>
          </w:rPr>
          <w:t xml:space="preserve"> </w:t>
        </w:r>
        <w:r w:rsidR="008D6CEE" w:rsidRPr="009A0FFC">
          <w:rPr>
            <w:rFonts w:ascii="Segoe UI" w:hAnsi="Segoe UI" w:cs="Segoe UI"/>
            <w:sz w:val="16"/>
            <w:szCs w:val="16"/>
          </w:rPr>
          <w:t>All rights reserved.</w:t>
        </w:r>
        <w:r w:rsidR="00FA6B2F">
          <w:rPr>
            <w:rFonts w:ascii="Segoe UI" w:hAnsi="Segoe UI" w:cs="Segoe UI"/>
            <w:sz w:val="16"/>
            <w:szCs w:val="16"/>
          </w:rPr>
          <w:t xml:space="preserve">                   </w:t>
        </w:r>
        <w:r w:rsidR="00FA6B2F" w:rsidRPr="00FA6B2F">
          <w:rPr>
            <w:rFonts w:ascii="Segoe UI" w:hAnsi="Segoe UI" w:cs="Segoe UI"/>
            <w:sz w:val="16"/>
            <w:szCs w:val="16"/>
          </w:rPr>
          <w:t>Private &amp; Confidential</w:t>
        </w:r>
        <w:r w:rsidR="00FA6B2F">
          <w:rPr>
            <w:noProof/>
          </w:rPr>
          <w:t xml:space="preserve">            </w:t>
        </w:r>
      </w:p>
      <w:p w14:paraId="38749B50" w14:textId="1381805F" w:rsidR="008D6CEE" w:rsidRDefault="008D6CEE" w:rsidP="008D6CEE">
        <w:pPr>
          <w:pStyle w:val="Footer"/>
        </w:pP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14015" w14:textId="77777777" w:rsidR="00B2706F" w:rsidRDefault="00B2706F" w:rsidP="00DE73ED">
      <w:pPr>
        <w:spacing w:after="0" w:line="240" w:lineRule="auto"/>
      </w:pPr>
      <w:r>
        <w:separator/>
      </w:r>
    </w:p>
  </w:footnote>
  <w:footnote w:type="continuationSeparator" w:id="0">
    <w:p w14:paraId="1D813E1F" w14:textId="77777777" w:rsidR="00B2706F" w:rsidRDefault="00B2706F" w:rsidP="00DE73ED">
      <w:pPr>
        <w:spacing w:after="0" w:line="240" w:lineRule="auto"/>
      </w:pPr>
      <w:r>
        <w:continuationSeparator/>
      </w:r>
    </w:p>
  </w:footnote>
  <w:footnote w:type="continuationNotice" w:id="1">
    <w:p w14:paraId="3453B1CF" w14:textId="77777777" w:rsidR="00987BE0" w:rsidRDefault="00987BE0">
      <w:pPr>
        <w:spacing w:after="0" w:line="240" w:lineRule="auto"/>
      </w:pPr>
    </w:p>
  </w:footnote>
  <w:footnote w:id="2">
    <w:p w14:paraId="647830A9" w14:textId="77777777" w:rsidR="00A13C3E" w:rsidRDefault="00A13C3E" w:rsidP="00A13C3E">
      <w:pPr>
        <w:pStyle w:val="FootnoteText"/>
        <w:ind w:left="360"/>
        <w:rPr>
          <w:sz w:val="18"/>
          <w:lang w:val="en-CA"/>
        </w:rPr>
      </w:pPr>
      <w:r>
        <w:rPr>
          <w:rStyle w:val="FootnoteReference"/>
          <w:sz w:val="18"/>
        </w:rPr>
        <w:footnoteRef/>
      </w:r>
      <w:r>
        <w:rPr>
          <w:sz w:val="18"/>
        </w:rPr>
        <w:t xml:space="preserve"> BCI, 2013. “Business Continuity Good Practice Guidelines”, p. 5.</w:t>
      </w:r>
    </w:p>
  </w:footnote>
  <w:footnote w:id="3">
    <w:p w14:paraId="71EFB6A2" w14:textId="77777777" w:rsidR="00A13C3E" w:rsidRDefault="00A13C3E" w:rsidP="00A13C3E">
      <w:pPr>
        <w:pStyle w:val="FootnoteText"/>
        <w:ind w:left="360"/>
        <w:rPr>
          <w:lang w:val="en-CA"/>
        </w:rPr>
      </w:pPr>
      <w:r>
        <w:rPr>
          <w:rStyle w:val="FootnoteReference"/>
          <w:sz w:val="18"/>
        </w:rPr>
        <w:footnoteRef/>
      </w:r>
      <w:r>
        <w:rPr>
          <w:sz w:val="18"/>
        </w:rPr>
        <w:t xml:space="preserve"> ISO 22301:2012. “Societal Security – Business Continuity Management Systems –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63729114"/>
      <w:docPartObj>
        <w:docPartGallery w:val="Page Numbers (Top of Page)"/>
        <w:docPartUnique/>
      </w:docPartObj>
    </w:sdtPr>
    <w:sdtEndPr>
      <w:rPr>
        <w:noProof/>
      </w:rPr>
    </w:sdtEndPr>
    <w:sdtContent>
      <w:p w14:paraId="533D1650" w14:textId="2254943B" w:rsidR="007E7236" w:rsidRDefault="004A5B92" w:rsidP="007E7236">
        <w:pPr>
          <w:pStyle w:val="Header"/>
          <w:pBdr>
            <w:bottom w:val="single" w:sz="4" w:space="1" w:color="auto"/>
          </w:pBdr>
          <w:rPr>
            <w:b/>
            <w:bCs/>
          </w:rPr>
        </w:pPr>
        <w:r>
          <w:rPr>
            <w:noProof/>
          </w:rPr>
          <w:drawing>
            <wp:anchor distT="0" distB="0" distL="114300" distR="114300" simplePos="0" relativeHeight="251660800" behindDoc="0" locked="0" layoutInCell="1" allowOverlap="1" wp14:anchorId="4C7C0485" wp14:editId="3C3B0195">
              <wp:simplePos x="0" y="0"/>
              <wp:positionH relativeFrom="margin">
                <wp:posOffset>4566285</wp:posOffset>
              </wp:positionH>
              <wp:positionV relativeFrom="paragraph">
                <wp:posOffset>100965</wp:posOffset>
              </wp:positionV>
              <wp:extent cx="1377315" cy="323850"/>
              <wp:effectExtent l="0" t="0" r="0" b="0"/>
              <wp:wrapNone/>
              <wp:docPr id="11" name="Picture 11" descr="A picture containing text, sign&#10;&#10;Description automatically generated">
                <a:extLst xmlns:a="http://schemas.openxmlformats.org/drawingml/2006/main">
                  <a:ext uri="{FF2B5EF4-FFF2-40B4-BE49-F238E27FC236}">
                    <a16:creationId xmlns:a16="http://schemas.microsoft.com/office/drawing/2014/main" id="{5A7CFDD0-FBCF-46DF-8260-63CDC826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ign&#10;&#10;Description automatically generated">
                        <a:extLst>
                          <a:ext uri="{FF2B5EF4-FFF2-40B4-BE49-F238E27FC236}">
                            <a16:creationId xmlns:a16="http://schemas.microsoft.com/office/drawing/2014/main" id="{5A7CFDD0-FBCF-46DF-8260-63CDC8267BB4}"/>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77315" cy="323850"/>
                      </a:xfrm>
                      <a:prstGeom prst="rect">
                        <a:avLst/>
                      </a:prstGeom>
                    </pic:spPr>
                  </pic:pic>
                </a:graphicData>
              </a:graphic>
              <wp14:sizeRelH relativeFrom="margin">
                <wp14:pctWidth>0</wp14:pctWidth>
              </wp14:sizeRelH>
              <wp14:sizeRelV relativeFrom="margin">
                <wp14:pctHeight>0</wp14:pctHeight>
              </wp14:sizeRelV>
            </wp:anchor>
          </w:drawing>
        </w:r>
      </w:p>
      <w:p w14:paraId="5C52762A" w14:textId="50EDE09D" w:rsidR="007E7236" w:rsidRDefault="004A5B92" w:rsidP="007E7236">
        <w:pPr>
          <w:pStyle w:val="Header"/>
          <w:pBdr>
            <w:bottom w:val="single" w:sz="4" w:space="1" w:color="auto"/>
          </w:pBdr>
          <w:rPr>
            <w:noProof/>
          </w:rPr>
        </w:pPr>
        <w:r w:rsidRPr="004A5B92">
          <w:rPr>
            <w:b/>
            <w:bCs/>
          </w:rPr>
          <w:t xml:space="preserve"> </w:t>
        </w:r>
        <w:r w:rsidR="00A13910">
          <w:rPr>
            <w:b/>
            <w:bCs/>
          </w:rPr>
          <w:t>Policy</w:t>
        </w:r>
        <w:r>
          <w:rPr>
            <w:b/>
            <w:bCs/>
          </w:rPr>
          <w:t xml:space="preserve"> </w:t>
        </w:r>
        <w:r w:rsidR="00A13910">
          <w:rPr>
            <w:b/>
            <w:bCs/>
          </w:rPr>
          <w:t>–</w:t>
        </w:r>
        <w:r>
          <w:rPr>
            <w:b/>
            <w:bCs/>
          </w:rPr>
          <w:t xml:space="preserve"> </w:t>
        </w:r>
        <w:r w:rsidR="00A13C3E">
          <w:rPr>
            <w:b/>
            <w:bCs/>
          </w:rPr>
          <w:t>Business Continuity</w:t>
        </w:r>
        <w:r w:rsidR="00A13910">
          <w:rPr>
            <w:b/>
            <w:bCs/>
          </w:rPr>
          <w:t xml:space="preserve"> Management</w:t>
        </w:r>
        <w:r w:rsidR="007E7236" w:rsidRPr="007E7236">
          <w:rPr>
            <w:noProof/>
          </w:rPr>
          <w:t xml:space="preserve"> </w:t>
        </w:r>
      </w:p>
      <w:p w14:paraId="60B39D00" w14:textId="5A893210" w:rsidR="00B31097" w:rsidRPr="007E7236" w:rsidRDefault="00A13C3E" w:rsidP="007E7236">
        <w:pPr>
          <w:pStyle w:val="Header"/>
          <w:pBdr>
            <w:bottom w:val="single" w:sz="4" w:space="1" w:color="auto"/>
          </w:pBdr>
          <w:rPr>
            <w:b/>
            <w:bCs/>
          </w:rPr>
        </w:pPr>
      </w:p>
    </w:sdtContent>
  </w:sdt>
  <w:p w14:paraId="038CF616" w14:textId="0444DBDF" w:rsidR="00E44B72" w:rsidRPr="00556AFC" w:rsidRDefault="00E44B72">
    <w:pPr>
      <w:pStyle w:val="Header"/>
      <w:jc w:val="right"/>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0C6A8CE"/>
    <w:lvl w:ilvl="0">
      <w:start w:val="1"/>
      <w:numFmt w:val="decimal"/>
      <w:pStyle w:val="ListNumber2"/>
      <w:lvlText w:val="%1."/>
      <w:lvlJc w:val="left"/>
      <w:pPr>
        <w:tabs>
          <w:tab w:val="num" w:pos="643"/>
        </w:tabs>
        <w:ind w:left="643" w:hanging="360"/>
      </w:pPr>
    </w:lvl>
  </w:abstractNum>
  <w:abstractNum w:abstractNumId="1" w15:restartNumberingAfterBreak="0">
    <w:nsid w:val="010E23AC"/>
    <w:multiLevelType w:val="hybridMultilevel"/>
    <w:tmpl w:val="7A34B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D739C1"/>
    <w:multiLevelType w:val="hybridMultilevel"/>
    <w:tmpl w:val="C1D0C2CE"/>
    <w:lvl w:ilvl="0" w:tplc="953A40E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7529EA"/>
    <w:multiLevelType w:val="hybridMultilevel"/>
    <w:tmpl w:val="3EA6D09E"/>
    <w:lvl w:ilvl="0" w:tplc="E6306ED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6C5F39"/>
    <w:multiLevelType w:val="hybridMultilevel"/>
    <w:tmpl w:val="C166D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C3434F"/>
    <w:multiLevelType w:val="hybridMultilevel"/>
    <w:tmpl w:val="E1700C24"/>
    <w:lvl w:ilvl="0" w:tplc="04090001">
      <w:start w:val="1"/>
      <w:numFmt w:val="bullet"/>
      <w:lvlText w:val=""/>
      <w:lvlJc w:val="left"/>
      <w:pPr>
        <w:ind w:left="720" w:hanging="360"/>
      </w:pPr>
      <w:rPr>
        <w:rFonts w:ascii="Symbol" w:hAnsi="Symbol" w:hint="default"/>
      </w:rPr>
    </w:lvl>
    <w:lvl w:ilvl="1" w:tplc="F02C5FB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9B14B2"/>
    <w:multiLevelType w:val="hybridMultilevel"/>
    <w:tmpl w:val="50F085A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D5D5AB9"/>
    <w:multiLevelType w:val="hybridMultilevel"/>
    <w:tmpl w:val="779649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59938A7"/>
    <w:multiLevelType w:val="hybridMultilevel"/>
    <w:tmpl w:val="AD88BCB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18A104B2"/>
    <w:multiLevelType w:val="multilevel"/>
    <w:tmpl w:val="B5C85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1642D"/>
    <w:multiLevelType w:val="hybridMultilevel"/>
    <w:tmpl w:val="AC769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BB61FD"/>
    <w:multiLevelType w:val="hybridMultilevel"/>
    <w:tmpl w:val="DD361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9F2298"/>
    <w:multiLevelType w:val="hybridMultilevel"/>
    <w:tmpl w:val="A9744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245A56"/>
    <w:multiLevelType w:val="hybridMultilevel"/>
    <w:tmpl w:val="B3462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C60587"/>
    <w:multiLevelType w:val="hybridMultilevel"/>
    <w:tmpl w:val="78361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8370739"/>
    <w:multiLevelType w:val="hybridMultilevel"/>
    <w:tmpl w:val="C4FC8102"/>
    <w:lvl w:ilvl="0" w:tplc="8D2EBB30">
      <w:start w:val="5"/>
      <w:numFmt w:val="bullet"/>
      <w:lvlText w:val=""/>
      <w:lvlJc w:val="left"/>
      <w:pPr>
        <w:ind w:left="720" w:hanging="360"/>
      </w:pPr>
      <w:rPr>
        <w:rFonts w:ascii="Symbol" w:eastAsia="Times New Roman" w:hAnsi="Symbol" w:cs="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6A17F0"/>
    <w:multiLevelType w:val="hybridMultilevel"/>
    <w:tmpl w:val="2F343C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A7D28C4"/>
    <w:multiLevelType w:val="hybridMultilevel"/>
    <w:tmpl w:val="52B2C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6466E6"/>
    <w:multiLevelType w:val="hybridMultilevel"/>
    <w:tmpl w:val="8526ABB8"/>
    <w:lvl w:ilvl="0" w:tplc="130CF58A">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9" w15:restartNumberingAfterBreak="0">
    <w:nsid w:val="2F4232F7"/>
    <w:multiLevelType w:val="hybridMultilevel"/>
    <w:tmpl w:val="C1D0C2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C2ED4"/>
    <w:multiLevelType w:val="hybridMultilevel"/>
    <w:tmpl w:val="85D25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905467F"/>
    <w:multiLevelType w:val="hybridMultilevel"/>
    <w:tmpl w:val="3224D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4E2FE6"/>
    <w:multiLevelType w:val="hybridMultilevel"/>
    <w:tmpl w:val="F36E6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5AA517D"/>
    <w:multiLevelType w:val="multilevel"/>
    <w:tmpl w:val="9EACD670"/>
    <w:lvl w:ilvl="0">
      <w:start w:val="1"/>
      <w:numFmt w:val="decimal"/>
      <w:lvlText w:val="%1.0"/>
      <w:lvlJc w:val="left"/>
      <w:pPr>
        <w:tabs>
          <w:tab w:val="num" w:pos="936"/>
        </w:tabs>
        <w:ind w:left="360" w:hanging="360"/>
      </w:pPr>
      <w:rPr>
        <w:rFonts w:ascii="Tahoma" w:hAnsi="Tahoma" w:cs="Tahoma" w:hint="default"/>
        <w:b w:val="0"/>
        <w:bCs/>
        <w:color w:val="44546A" w:themeColor="text2"/>
        <w:sz w:val="22"/>
        <w:szCs w:val="24"/>
      </w:rPr>
    </w:lvl>
    <w:lvl w:ilvl="1">
      <w:start w:val="1"/>
      <w:numFmt w:val="decimal"/>
      <w:lvlText w:val="%1.%2"/>
      <w:lvlJc w:val="left"/>
      <w:pPr>
        <w:tabs>
          <w:tab w:val="num" w:pos="360"/>
        </w:tabs>
        <w:ind w:left="0" w:hanging="360"/>
      </w:pPr>
      <w:rPr>
        <w:rFonts w:ascii="Arial" w:hAnsi="Arial" w:hint="default"/>
        <w:b/>
        <w:i w:val="0"/>
        <w:strike w:val="0"/>
        <w:dstrike w:val="0"/>
        <w:color w:val="auto"/>
        <w:sz w:val="20"/>
        <w:szCs w:val="20"/>
      </w:rPr>
    </w:lvl>
    <w:lvl w:ilvl="2">
      <w:start w:val="1"/>
      <w:numFmt w:val="decimal"/>
      <w:lvlText w:val="%1.%2.%3"/>
      <w:lvlJc w:val="left"/>
      <w:pPr>
        <w:tabs>
          <w:tab w:val="num" w:pos="1080"/>
        </w:tabs>
        <w:ind w:left="-396" w:firstLine="396"/>
      </w:pPr>
      <w:rPr>
        <w:rFonts w:hint="default"/>
      </w:rPr>
    </w:lvl>
    <w:lvl w:ilvl="3">
      <w:start w:val="1"/>
      <w:numFmt w:val="decimal"/>
      <w:lvlText w:val="%1.%2.%3.%4."/>
      <w:lvlJc w:val="left"/>
      <w:pPr>
        <w:tabs>
          <w:tab w:val="num" w:pos="2412"/>
        </w:tabs>
        <w:ind w:left="2340" w:hanging="648"/>
      </w:pPr>
      <w:rPr>
        <w:rFonts w:hint="default"/>
        <w:color w:val="auto"/>
      </w:rPr>
    </w:lvl>
    <w:lvl w:ilvl="4">
      <w:start w:val="1"/>
      <w:numFmt w:val="decimal"/>
      <w:lvlText w:val="%1.%2.%3.%4.%5."/>
      <w:lvlJc w:val="left"/>
      <w:pPr>
        <w:tabs>
          <w:tab w:val="num" w:pos="3132"/>
        </w:tabs>
        <w:ind w:left="2844" w:hanging="792"/>
      </w:pPr>
      <w:rPr>
        <w:rFonts w:hint="default"/>
      </w:rPr>
    </w:lvl>
    <w:lvl w:ilvl="5">
      <w:start w:val="1"/>
      <w:numFmt w:val="decimal"/>
      <w:lvlText w:val="%1.%2.%3.%4.%5.%6."/>
      <w:lvlJc w:val="left"/>
      <w:pPr>
        <w:tabs>
          <w:tab w:val="num" w:pos="3492"/>
        </w:tabs>
        <w:ind w:left="3348" w:hanging="936"/>
      </w:pPr>
      <w:rPr>
        <w:rFonts w:hint="default"/>
      </w:rPr>
    </w:lvl>
    <w:lvl w:ilvl="6">
      <w:start w:val="1"/>
      <w:numFmt w:val="decimal"/>
      <w:lvlText w:val="%1.%2.%3.%4.%5.%6.%7."/>
      <w:lvlJc w:val="left"/>
      <w:pPr>
        <w:tabs>
          <w:tab w:val="num" w:pos="4212"/>
        </w:tabs>
        <w:ind w:left="3852" w:hanging="1080"/>
      </w:pPr>
      <w:rPr>
        <w:rFonts w:hint="default"/>
      </w:rPr>
    </w:lvl>
    <w:lvl w:ilvl="7">
      <w:start w:val="1"/>
      <w:numFmt w:val="decimal"/>
      <w:lvlText w:val="%1.%2.%3.%4.%5.%6.%7.%8."/>
      <w:lvlJc w:val="left"/>
      <w:pPr>
        <w:tabs>
          <w:tab w:val="num" w:pos="4572"/>
        </w:tabs>
        <w:ind w:left="4356" w:hanging="1224"/>
      </w:pPr>
      <w:rPr>
        <w:rFonts w:hint="default"/>
      </w:rPr>
    </w:lvl>
    <w:lvl w:ilvl="8">
      <w:start w:val="1"/>
      <w:numFmt w:val="decimal"/>
      <w:lvlText w:val="%1.%2.%3.%4.%5.%6.%7.%8.%9."/>
      <w:lvlJc w:val="left"/>
      <w:pPr>
        <w:tabs>
          <w:tab w:val="num" w:pos="5292"/>
        </w:tabs>
        <w:ind w:left="4932" w:hanging="1440"/>
      </w:pPr>
      <w:rPr>
        <w:rFonts w:hint="default"/>
      </w:rPr>
    </w:lvl>
  </w:abstractNum>
  <w:abstractNum w:abstractNumId="24" w15:restartNumberingAfterBreak="0">
    <w:nsid w:val="474A2B70"/>
    <w:multiLevelType w:val="hybridMultilevel"/>
    <w:tmpl w:val="3A3C7B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A1969D8"/>
    <w:multiLevelType w:val="hybridMultilevel"/>
    <w:tmpl w:val="C406D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BEB3A2C"/>
    <w:multiLevelType w:val="hybridMultilevel"/>
    <w:tmpl w:val="BA2E2570"/>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7" w15:restartNumberingAfterBreak="0">
    <w:nsid w:val="50FA5EB1"/>
    <w:multiLevelType w:val="hybridMultilevel"/>
    <w:tmpl w:val="C9C4236C"/>
    <w:lvl w:ilvl="0" w:tplc="2A52F9D8">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1BA255F"/>
    <w:multiLevelType w:val="hybridMultilevel"/>
    <w:tmpl w:val="DFB47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1E9266C"/>
    <w:multiLevelType w:val="hybridMultilevel"/>
    <w:tmpl w:val="6ED66A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23044D5"/>
    <w:multiLevelType w:val="hybridMultilevel"/>
    <w:tmpl w:val="C71C3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63C0E42"/>
    <w:multiLevelType w:val="hybridMultilevel"/>
    <w:tmpl w:val="7DE89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8FA49CF"/>
    <w:multiLevelType w:val="hybridMultilevel"/>
    <w:tmpl w:val="A2F4F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DAC540C"/>
    <w:multiLevelType w:val="hybridMultilevel"/>
    <w:tmpl w:val="0DC45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FA15FE0"/>
    <w:multiLevelType w:val="hybridMultilevel"/>
    <w:tmpl w:val="A1222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299616A"/>
    <w:multiLevelType w:val="hybridMultilevel"/>
    <w:tmpl w:val="B052DB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7D47CE6"/>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9663808"/>
    <w:multiLevelType w:val="hybridMultilevel"/>
    <w:tmpl w:val="987430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6BB8304A"/>
    <w:multiLevelType w:val="hybridMultilevel"/>
    <w:tmpl w:val="672A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A11CB"/>
    <w:multiLevelType w:val="hybridMultilevel"/>
    <w:tmpl w:val="AA121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A212947"/>
    <w:multiLevelType w:val="hybridMultilevel"/>
    <w:tmpl w:val="F92A8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F3D1100"/>
    <w:multiLevelType w:val="hybridMultilevel"/>
    <w:tmpl w:val="E402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F9551A9"/>
    <w:multiLevelType w:val="hybridMultilevel"/>
    <w:tmpl w:val="16F87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B76907"/>
    <w:multiLevelType w:val="hybridMultilevel"/>
    <w:tmpl w:val="3348CDD0"/>
    <w:lvl w:ilvl="0" w:tplc="11D6A64E">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87809453">
    <w:abstractNumId w:val="3"/>
  </w:num>
  <w:num w:numId="2" w16cid:durableId="686643026">
    <w:abstractNumId w:val="30"/>
  </w:num>
  <w:num w:numId="3" w16cid:durableId="818620694">
    <w:abstractNumId w:val="13"/>
  </w:num>
  <w:num w:numId="4" w16cid:durableId="2033147389">
    <w:abstractNumId w:val="36"/>
  </w:num>
  <w:num w:numId="5" w16cid:durableId="1782845648">
    <w:abstractNumId w:val="27"/>
  </w:num>
  <w:num w:numId="6" w16cid:durableId="1094352506">
    <w:abstractNumId w:val="40"/>
  </w:num>
  <w:num w:numId="7" w16cid:durableId="1418988596">
    <w:abstractNumId w:val="10"/>
  </w:num>
  <w:num w:numId="8" w16cid:durableId="1204367406">
    <w:abstractNumId w:val="28"/>
  </w:num>
  <w:num w:numId="9" w16cid:durableId="184056937">
    <w:abstractNumId w:val="34"/>
  </w:num>
  <w:num w:numId="10" w16cid:durableId="143355673">
    <w:abstractNumId w:val="12"/>
  </w:num>
  <w:num w:numId="11" w16cid:durableId="1360550174">
    <w:abstractNumId w:val="22"/>
  </w:num>
  <w:num w:numId="12" w16cid:durableId="801733532">
    <w:abstractNumId w:val="20"/>
  </w:num>
  <w:num w:numId="13" w16cid:durableId="1407724737">
    <w:abstractNumId w:val="21"/>
  </w:num>
  <w:num w:numId="14" w16cid:durableId="754866882">
    <w:abstractNumId w:val="16"/>
  </w:num>
  <w:num w:numId="15" w16cid:durableId="398528098">
    <w:abstractNumId w:val="11"/>
  </w:num>
  <w:num w:numId="16" w16cid:durableId="1957326912">
    <w:abstractNumId w:val="17"/>
  </w:num>
  <w:num w:numId="17" w16cid:durableId="447358096">
    <w:abstractNumId w:val="26"/>
  </w:num>
  <w:num w:numId="18" w16cid:durableId="1862474341">
    <w:abstractNumId w:val="33"/>
  </w:num>
  <w:num w:numId="19" w16cid:durableId="1534730657">
    <w:abstractNumId w:val="38"/>
  </w:num>
  <w:num w:numId="20" w16cid:durableId="1748528589">
    <w:abstractNumId w:val="9"/>
  </w:num>
  <w:num w:numId="21" w16cid:durableId="404306452">
    <w:abstractNumId w:val="39"/>
  </w:num>
  <w:num w:numId="22" w16cid:durableId="1282881521">
    <w:abstractNumId w:val="8"/>
  </w:num>
  <w:num w:numId="23" w16cid:durableId="1722903880">
    <w:abstractNumId w:val="42"/>
  </w:num>
  <w:num w:numId="24" w16cid:durableId="554777550">
    <w:abstractNumId w:val="37"/>
  </w:num>
  <w:num w:numId="25" w16cid:durableId="188421710">
    <w:abstractNumId w:val="7"/>
  </w:num>
  <w:num w:numId="26" w16cid:durableId="1636907708">
    <w:abstractNumId w:val="29"/>
  </w:num>
  <w:num w:numId="27" w16cid:durableId="173225825">
    <w:abstractNumId w:val="1"/>
  </w:num>
  <w:num w:numId="28" w16cid:durableId="1008025714">
    <w:abstractNumId w:val="41"/>
  </w:num>
  <w:num w:numId="29" w16cid:durableId="284696355">
    <w:abstractNumId w:val="14"/>
  </w:num>
  <w:num w:numId="30" w16cid:durableId="985355832">
    <w:abstractNumId w:val="32"/>
  </w:num>
  <w:num w:numId="31" w16cid:durableId="1861775621">
    <w:abstractNumId w:val="24"/>
  </w:num>
  <w:num w:numId="32" w16cid:durableId="1823768422">
    <w:abstractNumId w:val="35"/>
  </w:num>
  <w:num w:numId="33" w16cid:durableId="1091583272">
    <w:abstractNumId w:val="2"/>
  </w:num>
  <w:num w:numId="34" w16cid:durableId="1833065199">
    <w:abstractNumId w:val="19"/>
  </w:num>
  <w:num w:numId="35" w16cid:durableId="212893612">
    <w:abstractNumId w:val="5"/>
  </w:num>
  <w:num w:numId="36" w16cid:durableId="1597133146">
    <w:abstractNumId w:val="31"/>
  </w:num>
  <w:num w:numId="37" w16cid:durableId="148399225">
    <w:abstractNumId w:val="25"/>
  </w:num>
  <w:num w:numId="38" w16cid:durableId="595677278">
    <w:abstractNumId w:val="18"/>
  </w:num>
  <w:num w:numId="39" w16cid:durableId="982470282">
    <w:abstractNumId w:val="4"/>
  </w:num>
  <w:num w:numId="40" w16cid:durableId="1654600787">
    <w:abstractNumId w:val="15"/>
  </w:num>
  <w:num w:numId="41" w16cid:durableId="1225021700">
    <w:abstractNumId w:val="6"/>
  </w:num>
  <w:num w:numId="42" w16cid:durableId="1213536790">
    <w:abstractNumId w:val="43"/>
  </w:num>
  <w:num w:numId="43" w16cid:durableId="294604592">
    <w:abstractNumId w:val="0"/>
  </w:num>
  <w:num w:numId="44" w16cid:durableId="2084444729">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srQ0tTQwN7WwMDBT0lEKTi0uzszPAykwqgUAzBVwKCwAAAA="/>
  </w:docVars>
  <w:rsids>
    <w:rsidRoot w:val="00015790"/>
    <w:rsid w:val="00003A40"/>
    <w:rsid w:val="0001053D"/>
    <w:rsid w:val="00011A1C"/>
    <w:rsid w:val="00014D22"/>
    <w:rsid w:val="00015790"/>
    <w:rsid w:val="000174FC"/>
    <w:rsid w:val="0002207E"/>
    <w:rsid w:val="00022AE4"/>
    <w:rsid w:val="0004587F"/>
    <w:rsid w:val="000660B5"/>
    <w:rsid w:val="00081E2A"/>
    <w:rsid w:val="00093412"/>
    <w:rsid w:val="000A51E8"/>
    <w:rsid w:val="000A6940"/>
    <w:rsid w:val="000C30CD"/>
    <w:rsid w:val="000D0C88"/>
    <w:rsid w:val="000D2C67"/>
    <w:rsid w:val="000D517C"/>
    <w:rsid w:val="000D53EB"/>
    <w:rsid w:val="00100052"/>
    <w:rsid w:val="0011187A"/>
    <w:rsid w:val="00113179"/>
    <w:rsid w:val="00127296"/>
    <w:rsid w:val="001454F0"/>
    <w:rsid w:val="00147507"/>
    <w:rsid w:val="001554D7"/>
    <w:rsid w:val="00155BD9"/>
    <w:rsid w:val="00167F02"/>
    <w:rsid w:val="00173504"/>
    <w:rsid w:val="0017471A"/>
    <w:rsid w:val="00180255"/>
    <w:rsid w:val="0018396E"/>
    <w:rsid w:val="001B4B9E"/>
    <w:rsid w:val="001C096C"/>
    <w:rsid w:val="001C3846"/>
    <w:rsid w:val="001E6503"/>
    <w:rsid w:val="001F35C1"/>
    <w:rsid w:val="001F3AE1"/>
    <w:rsid w:val="001F63C9"/>
    <w:rsid w:val="00201CA6"/>
    <w:rsid w:val="00212D84"/>
    <w:rsid w:val="00212F8D"/>
    <w:rsid w:val="00233C42"/>
    <w:rsid w:val="00234721"/>
    <w:rsid w:val="00235F97"/>
    <w:rsid w:val="00244DC5"/>
    <w:rsid w:val="00250AF1"/>
    <w:rsid w:val="00262E75"/>
    <w:rsid w:val="0028104A"/>
    <w:rsid w:val="00284F95"/>
    <w:rsid w:val="0028647B"/>
    <w:rsid w:val="002A4F42"/>
    <w:rsid w:val="002B09E5"/>
    <w:rsid w:val="002C75CC"/>
    <w:rsid w:val="002D753B"/>
    <w:rsid w:val="002F2176"/>
    <w:rsid w:val="002F7D9F"/>
    <w:rsid w:val="003014AA"/>
    <w:rsid w:val="00301BF5"/>
    <w:rsid w:val="00320412"/>
    <w:rsid w:val="003304EC"/>
    <w:rsid w:val="00333C58"/>
    <w:rsid w:val="00357473"/>
    <w:rsid w:val="00366900"/>
    <w:rsid w:val="00367A1F"/>
    <w:rsid w:val="003A4D17"/>
    <w:rsid w:val="003B0CDD"/>
    <w:rsid w:val="003C6AD0"/>
    <w:rsid w:val="003D4022"/>
    <w:rsid w:val="003F2785"/>
    <w:rsid w:val="00430818"/>
    <w:rsid w:val="00431C8A"/>
    <w:rsid w:val="0043300F"/>
    <w:rsid w:val="00433B43"/>
    <w:rsid w:val="004414C0"/>
    <w:rsid w:val="004433F5"/>
    <w:rsid w:val="004731FD"/>
    <w:rsid w:val="004974F1"/>
    <w:rsid w:val="004A1FB1"/>
    <w:rsid w:val="004A3B5F"/>
    <w:rsid w:val="004A515E"/>
    <w:rsid w:val="004A5B92"/>
    <w:rsid w:val="004B1C8E"/>
    <w:rsid w:val="004B3231"/>
    <w:rsid w:val="004C73D5"/>
    <w:rsid w:val="004E611F"/>
    <w:rsid w:val="004F0618"/>
    <w:rsid w:val="005101F5"/>
    <w:rsid w:val="005261CE"/>
    <w:rsid w:val="00540355"/>
    <w:rsid w:val="00556AFC"/>
    <w:rsid w:val="005666C1"/>
    <w:rsid w:val="00582FBF"/>
    <w:rsid w:val="005C2878"/>
    <w:rsid w:val="005D59E4"/>
    <w:rsid w:val="005D6C2E"/>
    <w:rsid w:val="005E2326"/>
    <w:rsid w:val="005E41C3"/>
    <w:rsid w:val="00613E8C"/>
    <w:rsid w:val="00623BDD"/>
    <w:rsid w:val="00670BE1"/>
    <w:rsid w:val="006C4879"/>
    <w:rsid w:val="006E0149"/>
    <w:rsid w:val="006F6848"/>
    <w:rsid w:val="007127BD"/>
    <w:rsid w:val="0071398A"/>
    <w:rsid w:val="007229D4"/>
    <w:rsid w:val="007315A2"/>
    <w:rsid w:val="0075748E"/>
    <w:rsid w:val="007577B7"/>
    <w:rsid w:val="0076033C"/>
    <w:rsid w:val="00791817"/>
    <w:rsid w:val="007D1F7B"/>
    <w:rsid w:val="007D3F52"/>
    <w:rsid w:val="007E7236"/>
    <w:rsid w:val="00814834"/>
    <w:rsid w:val="0083314B"/>
    <w:rsid w:val="0084056B"/>
    <w:rsid w:val="008440B5"/>
    <w:rsid w:val="008466A2"/>
    <w:rsid w:val="0089189D"/>
    <w:rsid w:val="008A431E"/>
    <w:rsid w:val="008B7A70"/>
    <w:rsid w:val="008D176B"/>
    <w:rsid w:val="008D3F0C"/>
    <w:rsid w:val="008D6CEE"/>
    <w:rsid w:val="008F6999"/>
    <w:rsid w:val="00905A55"/>
    <w:rsid w:val="009147DC"/>
    <w:rsid w:val="00914A7C"/>
    <w:rsid w:val="009276F7"/>
    <w:rsid w:val="00947C52"/>
    <w:rsid w:val="009741AA"/>
    <w:rsid w:val="0098018F"/>
    <w:rsid w:val="00987BE0"/>
    <w:rsid w:val="00994838"/>
    <w:rsid w:val="00994CA9"/>
    <w:rsid w:val="009A2A3D"/>
    <w:rsid w:val="009B1431"/>
    <w:rsid w:val="009C0B8E"/>
    <w:rsid w:val="009C0FF5"/>
    <w:rsid w:val="009C31B7"/>
    <w:rsid w:val="009D2DAC"/>
    <w:rsid w:val="009D7F83"/>
    <w:rsid w:val="009F3397"/>
    <w:rsid w:val="009F59FE"/>
    <w:rsid w:val="00A05DA1"/>
    <w:rsid w:val="00A13910"/>
    <w:rsid w:val="00A13C3E"/>
    <w:rsid w:val="00A2756D"/>
    <w:rsid w:val="00A37DFD"/>
    <w:rsid w:val="00A43121"/>
    <w:rsid w:val="00A651A3"/>
    <w:rsid w:val="00A81757"/>
    <w:rsid w:val="00AA59A7"/>
    <w:rsid w:val="00AA673F"/>
    <w:rsid w:val="00AB10E5"/>
    <w:rsid w:val="00AC4802"/>
    <w:rsid w:val="00AD46FA"/>
    <w:rsid w:val="00AE006A"/>
    <w:rsid w:val="00AF654F"/>
    <w:rsid w:val="00B04132"/>
    <w:rsid w:val="00B05D15"/>
    <w:rsid w:val="00B20128"/>
    <w:rsid w:val="00B221E4"/>
    <w:rsid w:val="00B2706F"/>
    <w:rsid w:val="00B30F79"/>
    <w:rsid w:val="00B31097"/>
    <w:rsid w:val="00B36A78"/>
    <w:rsid w:val="00B424A2"/>
    <w:rsid w:val="00B4574A"/>
    <w:rsid w:val="00B61C1E"/>
    <w:rsid w:val="00B62223"/>
    <w:rsid w:val="00B73058"/>
    <w:rsid w:val="00BA5A9A"/>
    <w:rsid w:val="00BB474E"/>
    <w:rsid w:val="00BB497D"/>
    <w:rsid w:val="00BB5213"/>
    <w:rsid w:val="00BC4186"/>
    <w:rsid w:val="00BC69DE"/>
    <w:rsid w:val="00BD1A86"/>
    <w:rsid w:val="00C00489"/>
    <w:rsid w:val="00C07361"/>
    <w:rsid w:val="00C25534"/>
    <w:rsid w:val="00C33458"/>
    <w:rsid w:val="00C47E42"/>
    <w:rsid w:val="00C5031A"/>
    <w:rsid w:val="00C65F8C"/>
    <w:rsid w:val="00CA024F"/>
    <w:rsid w:val="00CA5C44"/>
    <w:rsid w:val="00CD2C7D"/>
    <w:rsid w:val="00D05D39"/>
    <w:rsid w:val="00D2084F"/>
    <w:rsid w:val="00D63695"/>
    <w:rsid w:val="00D65D2D"/>
    <w:rsid w:val="00DB7631"/>
    <w:rsid w:val="00DC053F"/>
    <w:rsid w:val="00DD04DD"/>
    <w:rsid w:val="00DE73ED"/>
    <w:rsid w:val="00E13BE7"/>
    <w:rsid w:val="00E17274"/>
    <w:rsid w:val="00E17692"/>
    <w:rsid w:val="00E2205E"/>
    <w:rsid w:val="00E33B2D"/>
    <w:rsid w:val="00E44B72"/>
    <w:rsid w:val="00E47EC0"/>
    <w:rsid w:val="00E664C6"/>
    <w:rsid w:val="00E70963"/>
    <w:rsid w:val="00E82E58"/>
    <w:rsid w:val="00E97910"/>
    <w:rsid w:val="00EA06D2"/>
    <w:rsid w:val="00EC5503"/>
    <w:rsid w:val="00ED78AA"/>
    <w:rsid w:val="00EE18DD"/>
    <w:rsid w:val="00EE254F"/>
    <w:rsid w:val="00EF49DA"/>
    <w:rsid w:val="00F02667"/>
    <w:rsid w:val="00F05632"/>
    <w:rsid w:val="00F16726"/>
    <w:rsid w:val="00F30B04"/>
    <w:rsid w:val="00F46552"/>
    <w:rsid w:val="00FA4916"/>
    <w:rsid w:val="00FA6B2F"/>
    <w:rsid w:val="00FB3435"/>
    <w:rsid w:val="00FE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A6F2"/>
  <w15:chartTrackingRefBased/>
  <w15:docId w15:val="{2CD9F28E-6B08-4EEA-9B0B-39DB896A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10"/>
  </w:style>
  <w:style w:type="paragraph" w:styleId="Heading1">
    <w:name w:val="heading 1"/>
    <w:basedOn w:val="Normal"/>
    <w:next w:val="Normal"/>
    <w:link w:val="Heading1Char"/>
    <w:qFormat/>
    <w:rsid w:val="00E4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B3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A5B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5B92"/>
    <w:pPr>
      <w:keepNext/>
      <w:keepLines/>
      <w:spacing w:before="40" w:after="0"/>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3ED"/>
  </w:style>
  <w:style w:type="paragraph" w:styleId="Footer">
    <w:name w:val="footer"/>
    <w:basedOn w:val="Normal"/>
    <w:link w:val="FooterChar"/>
    <w:uiPriority w:val="99"/>
    <w:unhideWhenUsed/>
    <w:rsid w:val="00DE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3ED"/>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E44B72"/>
    <w:pPr>
      <w:ind w:left="720"/>
      <w:contextualSpacing/>
    </w:pPr>
  </w:style>
  <w:style w:type="character" w:customStyle="1" w:styleId="Heading1Char">
    <w:name w:val="Heading 1 Char"/>
    <w:basedOn w:val="DefaultParagraphFont"/>
    <w:link w:val="Heading1"/>
    <w:uiPriority w:val="9"/>
    <w:rsid w:val="00E44B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B323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B323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4B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32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B3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rsid w:val="004B3231"/>
    <w:pPr>
      <w:suppressAutoHyphens/>
      <w:spacing w:before="60" w:after="60" w:line="240" w:lineRule="auto"/>
    </w:pPr>
    <w:rPr>
      <w:rFonts w:ascii="Courier New" w:eastAsia="Times New Roman" w:hAnsi="Courier New" w:cs="Courier New"/>
      <w:lang w:eastAsia="ar-SA"/>
    </w:rPr>
  </w:style>
  <w:style w:type="character" w:customStyle="1" w:styleId="PlainTextChar">
    <w:name w:val="Plain Text Char"/>
    <w:basedOn w:val="DefaultParagraphFont"/>
    <w:link w:val="PlainText"/>
    <w:rsid w:val="004B3231"/>
    <w:rPr>
      <w:rFonts w:ascii="Courier New" w:eastAsia="Times New Roman" w:hAnsi="Courier New" w:cs="Courier New"/>
      <w:lang w:eastAsia="ar-SA"/>
    </w:rPr>
  </w:style>
  <w:style w:type="character" w:styleId="Hyperlink">
    <w:name w:val="Hyperlink"/>
    <w:basedOn w:val="DefaultParagraphFont"/>
    <w:uiPriority w:val="99"/>
    <w:unhideWhenUsed/>
    <w:rsid w:val="005D59E4"/>
    <w:rPr>
      <w:color w:val="0563C1" w:themeColor="hyperlink"/>
      <w:u w:val="single"/>
    </w:rPr>
  </w:style>
  <w:style w:type="paragraph" w:styleId="TOCHeading">
    <w:name w:val="TOC Heading"/>
    <w:basedOn w:val="Heading1"/>
    <w:next w:val="Normal"/>
    <w:uiPriority w:val="39"/>
    <w:unhideWhenUsed/>
    <w:qFormat/>
    <w:rsid w:val="00E70963"/>
    <w:pPr>
      <w:outlineLvl w:val="9"/>
    </w:pPr>
  </w:style>
  <w:style w:type="paragraph" w:styleId="TOC1">
    <w:name w:val="toc 1"/>
    <w:basedOn w:val="Normal"/>
    <w:next w:val="Normal"/>
    <w:autoRedefine/>
    <w:uiPriority w:val="39"/>
    <w:unhideWhenUsed/>
    <w:rsid w:val="00E70963"/>
    <w:pPr>
      <w:spacing w:after="100"/>
    </w:pPr>
  </w:style>
  <w:style w:type="paragraph" w:styleId="TOC2">
    <w:name w:val="toc 2"/>
    <w:basedOn w:val="Normal"/>
    <w:next w:val="Normal"/>
    <w:autoRedefine/>
    <w:uiPriority w:val="39"/>
    <w:unhideWhenUsed/>
    <w:qFormat/>
    <w:rsid w:val="00E70963"/>
    <w:pPr>
      <w:spacing w:after="100"/>
      <w:ind w:left="200"/>
    </w:pPr>
  </w:style>
  <w:style w:type="character" w:styleId="UnresolvedMention">
    <w:name w:val="Unresolved Mention"/>
    <w:basedOn w:val="DefaultParagraphFont"/>
    <w:uiPriority w:val="99"/>
    <w:semiHidden/>
    <w:unhideWhenUsed/>
    <w:rsid w:val="00EC5503"/>
    <w:rPr>
      <w:color w:val="605E5C"/>
      <w:shd w:val="clear" w:color="auto" w:fill="E1DFDD"/>
    </w:rPr>
  </w:style>
  <w:style w:type="paragraph" w:styleId="NormalWeb">
    <w:name w:val="Normal (Web)"/>
    <w:basedOn w:val="Normal"/>
    <w:uiPriority w:val="99"/>
    <w:semiHidden/>
    <w:unhideWhenUsed/>
    <w:rsid w:val="00011A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6F6848"/>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4A5B92"/>
  </w:style>
  <w:style w:type="table" w:styleId="GridTable4-Accent5">
    <w:name w:val="Grid Table 4 Accent 5"/>
    <w:basedOn w:val="TableNormal"/>
    <w:uiPriority w:val="49"/>
    <w:rsid w:val="004A5B9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4A5B92"/>
    <w:pPr>
      <w:spacing w:after="100"/>
      <w:ind w:left="400"/>
    </w:pPr>
  </w:style>
  <w:style w:type="character" w:customStyle="1" w:styleId="Heading4Char">
    <w:name w:val="Heading 4 Char"/>
    <w:basedOn w:val="DefaultParagraphFont"/>
    <w:link w:val="Heading4"/>
    <w:uiPriority w:val="9"/>
    <w:rsid w:val="004A5B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A5B92"/>
    <w:rPr>
      <w:rFonts w:asciiTheme="majorHAnsi" w:eastAsiaTheme="majorEastAsia" w:hAnsiTheme="majorHAnsi" w:cstheme="majorBidi"/>
      <w:color w:val="2E74B5" w:themeColor="accent1" w:themeShade="BF"/>
    </w:rPr>
  </w:style>
  <w:style w:type="table" w:styleId="GridTable3-Accent1">
    <w:name w:val="Grid Table 3 Accent 1"/>
    <w:basedOn w:val="TableNormal"/>
    <w:uiPriority w:val="48"/>
    <w:rsid w:val="004A5B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NoHeader">
    <w:name w:val="Table No Header"/>
    <w:basedOn w:val="Normal"/>
    <w:link w:val="TableNoHeaderChar"/>
    <w:qFormat/>
    <w:rsid w:val="004A5B92"/>
    <w:pPr>
      <w:spacing w:after="0" w:line="240" w:lineRule="auto"/>
    </w:pPr>
    <w:rPr>
      <w:rFonts w:ascii="Roboto" w:hAnsi="Roboto"/>
      <w:lang w:eastAsia="en-IN"/>
    </w:rPr>
  </w:style>
  <w:style w:type="table" w:customStyle="1" w:styleId="Info-TechStandard">
    <w:name w:val="Info-Tech Standard"/>
    <w:basedOn w:val="TableNormal"/>
    <w:uiPriority w:val="99"/>
    <w:rsid w:val="004A5B92"/>
    <w:pPr>
      <w:spacing w:after="0" w:line="240" w:lineRule="auto"/>
    </w:pPr>
    <w:rPr>
      <w:rFonts w:ascii="Arial" w:hAnsi="Arial" w:cs="Times New Roman"/>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E2F3"/>
      </w:tcPr>
    </w:tblStylePr>
    <w:tblStylePr w:type="firstCol">
      <w:rPr>
        <w:b/>
      </w:rPr>
      <w:tblPr/>
      <w:tcPr>
        <w:shd w:val="clear" w:color="auto" w:fill="D9E2F3"/>
      </w:tcPr>
    </w:tblStylePr>
    <w:tblStylePr w:type="band2Vert">
      <w:tblPr/>
      <w:tcPr>
        <w:shd w:val="clear" w:color="auto" w:fill="F2F2F2"/>
      </w:tcPr>
    </w:tblStylePr>
    <w:tblStylePr w:type="band2Horz">
      <w:tblPr/>
      <w:tcPr>
        <w:shd w:val="clear" w:color="auto" w:fill="F2F2F2"/>
      </w:tcPr>
    </w:tblStylePr>
  </w:style>
  <w:style w:type="character" w:customStyle="1" w:styleId="TableNoHeaderChar">
    <w:name w:val="Table No Header Char"/>
    <w:basedOn w:val="DefaultParagraphFont"/>
    <w:link w:val="TableNoHeader"/>
    <w:rsid w:val="004A5B92"/>
    <w:rPr>
      <w:rFonts w:ascii="Roboto" w:hAnsi="Roboto"/>
      <w:lang w:eastAsia="en-IN"/>
    </w:rPr>
  </w:style>
  <w:style w:type="paragraph" w:styleId="NoSpacing">
    <w:name w:val="No Spacing"/>
    <w:uiPriority w:val="1"/>
    <w:qFormat/>
    <w:rsid w:val="004A5B92"/>
    <w:pPr>
      <w:spacing w:after="0" w:line="240" w:lineRule="auto"/>
    </w:pPr>
    <w:rPr>
      <w:rFonts w:ascii="Tahoma" w:hAnsi="Tahoma" w:cstheme="minorBidi"/>
      <w:szCs w:val="22"/>
      <w:lang w:val="en-IN"/>
    </w:rPr>
  </w:style>
  <w:style w:type="paragraph" w:styleId="TOC4">
    <w:name w:val="toc 4"/>
    <w:basedOn w:val="Normal"/>
    <w:next w:val="Normal"/>
    <w:autoRedefine/>
    <w:uiPriority w:val="39"/>
    <w:unhideWhenUsed/>
    <w:rsid w:val="004A5B92"/>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4A5B92"/>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4A5B92"/>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4A5B92"/>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4A5B92"/>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4A5B92"/>
    <w:pPr>
      <w:spacing w:after="0"/>
      <w:ind w:left="1600"/>
    </w:pPr>
    <w:rPr>
      <w:rFonts w:asciiTheme="minorHAnsi" w:hAnsiTheme="minorHAnsi" w:cstheme="minorHAnsi"/>
      <w:sz w:val="18"/>
      <w:szCs w:val="18"/>
    </w:rPr>
  </w:style>
  <w:style w:type="paragraph" w:customStyle="1" w:styleId="SoKPolicyThirdLevelContent">
    <w:name w:val="SoK Policy Third Level Content"/>
    <w:basedOn w:val="Normal"/>
    <w:rsid w:val="00A13910"/>
    <w:pPr>
      <w:spacing w:after="120" w:line="240" w:lineRule="auto"/>
      <w:ind w:left="1440" w:hanging="360"/>
    </w:pPr>
    <w:rPr>
      <w:rFonts w:ascii="Calibri" w:eastAsia="Times New Roman" w:hAnsi="Calibri" w:cs="Times New Roman"/>
      <w:sz w:val="24"/>
      <w:lang w:eastAsia="en-CA"/>
    </w:rPr>
  </w:style>
  <w:style w:type="paragraph" w:styleId="ListNumber2">
    <w:name w:val="List Number 2"/>
    <w:basedOn w:val="Normal"/>
    <w:uiPriority w:val="99"/>
    <w:unhideWhenUsed/>
    <w:rsid w:val="00A13910"/>
    <w:pPr>
      <w:numPr>
        <w:numId w:val="43"/>
      </w:numPr>
      <w:spacing w:after="200" w:line="276" w:lineRule="auto"/>
      <w:contextualSpacing/>
    </w:pPr>
    <w:rPr>
      <w:rFonts w:asciiTheme="minorHAnsi" w:hAnsiTheme="minorHAnsi" w:cstheme="minorBidi"/>
      <w:sz w:val="22"/>
      <w:szCs w:val="22"/>
    </w:rPr>
  </w:style>
  <w:style w:type="paragraph" w:styleId="FootnoteText">
    <w:name w:val="footnote text"/>
    <w:basedOn w:val="Normal"/>
    <w:link w:val="FootnoteTextChar"/>
    <w:semiHidden/>
    <w:unhideWhenUsed/>
    <w:rsid w:val="00A13C3E"/>
    <w:pPr>
      <w:spacing w:after="0" w:line="240" w:lineRule="auto"/>
      <w:ind w:left="1080" w:hanging="360"/>
    </w:pPr>
    <w:rPr>
      <w:rFonts w:ascii="Arial" w:eastAsia="Times New Roman" w:hAnsi="Arial" w:cs="Times New Roman"/>
    </w:rPr>
  </w:style>
  <w:style w:type="character" w:customStyle="1" w:styleId="FootnoteTextChar">
    <w:name w:val="Footnote Text Char"/>
    <w:basedOn w:val="DefaultParagraphFont"/>
    <w:link w:val="FootnoteText"/>
    <w:semiHidden/>
    <w:rsid w:val="00A13C3E"/>
    <w:rPr>
      <w:rFonts w:ascii="Arial" w:eastAsia="Times New Roman" w:hAnsi="Arial" w:cs="Times New Roman"/>
    </w:rPr>
  </w:style>
  <w:style w:type="character" w:styleId="FootnoteReference">
    <w:name w:val="footnote reference"/>
    <w:basedOn w:val="DefaultParagraphFont"/>
    <w:semiHidden/>
    <w:unhideWhenUsed/>
    <w:rsid w:val="00A13C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1425">
      <w:bodyDiv w:val="1"/>
      <w:marLeft w:val="0"/>
      <w:marRight w:val="0"/>
      <w:marTop w:val="0"/>
      <w:marBottom w:val="0"/>
      <w:divBdr>
        <w:top w:val="none" w:sz="0" w:space="0" w:color="auto"/>
        <w:left w:val="none" w:sz="0" w:space="0" w:color="auto"/>
        <w:bottom w:val="none" w:sz="0" w:space="0" w:color="auto"/>
        <w:right w:val="none" w:sz="0" w:space="0" w:color="auto"/>
      </w:divBdr>
    </w:div>
    <w:div w:id="110826274">
      <w:bodyDiv w:val="1"/>
      <w:marLeft w:val="0"/>
      <w:marRight w:val="0"/>
      <w:marTop w:val="0"/>
      <w:marBottom w:val="0"/>
      <w:divBdr>
        <w:top w:val="none" w:sz="0" w:space="0" w:color="auto"/>
        <w:left w:val="none" w:sz="0" w:space="0" w:color="auto"/>
        <w:bottom w:val="none" w:sz="0" w:space="0" w:color="auto"/>
        <w:right w:val="none" w:sz="0" w:space="0" w:color="auto"/>
      </w:divBdr>
    </w:div>
    <w:div w:id="126969730">
      <w:bodyDiv w:val="1"/>
      <w:marLeft w:val="0"/>
      <w:marRight w:val="0"/>
      <w:marTop w:val="0"/>
      <w:marBottom w:val="0"/>
      <w:divBdr>
        <w:top w:val="none" w:sz="0" w:space="0" w:color="auto"/>
        <w:left w:val="none" w:sz="0" w:space="0" w:color="auto"/>
        <w:bottom w:val="none" w:sz="0" w:space="0" w:color="auto"/>
        <w:right w:val="none" w:sz="0" w:space="0" w:color="auto"/>
      </w:divBdr>
    </w:div>
    <w:div w:id="241910718">
      <w:bodyDiv w:val="1"/>
      <w:marLeft w:val="0"/>
      <w:marRight w:val="0"/>
      <w:marTop w:val="0"/>
      <w:marBottom w:val="0"/>
      <w:divBdr>
        <w:top w:val="none" w:sz="0" w:space="0" w:color="auto"/>
        <w:left w:val="none" w:sz="0" w:space="0" w:color="auto"/>
        <w:bottom w:val="none" w:sz="0" w:space="0" w:color="auto"/>
        <w:right w:val="none" w:sz="0" w:space="0" w:color="auto"/>
      </w:divBdr>
    </w:div>
    <w:div w:id="411321529">
      <w:bodyDiv w:val="1"/>
      <w:marLeft w:val="0"/>
      <w:marRight w:val="0"/>
      <w:marTop w:val="0"/>
      <w:marBottom w:val="0"/>
      <w:divBdr>
        <w:top w:val="none" w:sz="0" w:space="0" w:color="auto"/>
        <w:left w:val="none" w:sz="0" w:space="0" w:color="auto"/>
        <w:bottom w:val="none" w:sz="0" w:space="0" w:color="auto"/>
        <w:right w:val="none" w:sz="0" w:space="0" w:color="auto"/>
      </w:divBdr>
    </w:div>
    <w:div w:id="812648401">
      <w:bodyDiv w:val="1"/>
      <w:marLeft w:val="0"/>
      <w:marRight w:val="0"/>
      <w:marTop w:val="0"/>
      <w:marBottom w:val="0"/>
      <w:divBdr>
        <w:top w:val="none" w:sz="0" w:space="0" w:color="auto"/>
        <w:left w:val="none" w:sz="0" w:space="0" w:color="auto"/>
        <w:bottom w:val="none" w:sz="0" w:space="0" w:color="auto"/>
        <w:right w:val="none" w:sz="0" w:space="0" w:color="auto"/>
      </w:divBdr>
    </w:div>
    <w:div w:id="1339187308">
      <w:bodyDiv w:val="1"/>
      <w:marLeft w:val="0"/>
      <w:marRight w:val="0"/>
      <w:marTop w:val="0"/>
      <w:marBottom w:val="0"/>
      <w:divBdr>
        <w:top w:val="none" w:sz="0" w:space="0" w:color="auto"/>
        <w:left w:val="none" w:sz="0" w:space="0" w:color="auto"/>
        <w:bottom w:val="none" w:sz="0" w:space="0" w:color="auto"/>
        <w:right w:val="none" w:sz="0" w:space="0" w:color="auto"/>
      </w:divBdr>
    </w:div>
    <w:div w:id="1490100987">
      <w:bodyDiv w:val="1"/>
      <w:marLeft w:val="0"/>
      <w:marRight w:val="0"/>
      <w:marTop w:val="0"/>
      <w:marBottom w:val="0"/>
      <w:divBdr>
        <w:top w:val="none" w:sz="0" w:space="0" w:color="auto"/>
        <w:left w:val="none" w:sz="0" w:space="0" w:color="auto"/>
        <w:bottom w:val="none" w:sz="0" w:space="0" w:color="auto"/>
        <w:right w:val="none" w:sz="0" w:space="0" w:color="auto"/>
      </w:divBdr>
    </w:div>
    <w:div w:id="1629508057">
      <w:bodyDiv w:val="1"/>
      <w:marLeft w:val="0"/>
      <w:marRight w:val="0"/>
      <w:marTop w:val="0"/>
      <w:marBottom w:val="0"/>
      <w:divBdr>
        <w:top w:val="none" w:sz="0" w:space="0" w:color="auto"/>
        <w:left w:val="none" w:sz="0" w:space="0" w:color="auto"/>
        <w:bottom w:val="none" w:sz="0" w:space="0" w:color="auto"/>
        <w:right w:val="none" w:sz="0" w:space="0" w:color="auto"/>
      </w:divBdr>
    </w:div>
    <w:div w:id="1936742086">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90809818">
      <w:bodyDiv w:val="1"/>
      <w:marLeft w:val="0"/>
      <w:marRight w:val="0"/>
      <w:marTop w:val="0"/>
      <w:marBottom w:val="0"/>
      <w:divBdr>
        <w:top w:val="none" w:sz="0" w:space="0" w:color="auto"/>
        <w:left w:val="none" w:sz="0" w:space="0" w:color="auto"/>
        <w:bottom w:val="none" w:sz="0" w:space="0" w:color="auto"/>
        <w:right w:val="none" w:sz="0" w:space="0" w:color="auto"/>
      </w:divBdr>
    </w:div>
    <w:div w:id="21022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2979\Downloads\Great-Software-Laboratory-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4B4EB-09A1-4AFA-A4F6-613C51E21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7F6C61-E6D7-4763-B80D-F5861936F0BC}">
  <ds:schemaRefs>
    <ds:schemaRef ds:uri="http://schemas.microsoft.com/office/2006/metadata/properties"/>
    <ds:schemaRef ds:uri="http://schemas.microsoft.com/office/infopath/2007/PartnerControls"/>
    <ds:schemaRef ds:uri="71f848c0-781d-4d81-9f20-93030eaa42a2"/>
    <ds:schemaRef ds:uri="4b6c6c79-5e28-4060-a92c-b99e8dcbf44d"/>
  </ds:schemaRefs>
</ds:datastoreItem>
</file>

<file path=customXml/itemProps3.xml><?xml version="1.0" encoding="utf-8"?>
<ds:datastoreItem xmlns:ds="http://schemas.openxmlformats.org/officeDocument/2006/customXml" ds:itemID="{3875BC24-A96B-4456-807A-4D9ECFB09E7E}">
  <ds:schemaRefs>
    <ds:schemaRef ds:uri="http://schemas.microsoft.com/sharepoint/v3/contenttype/forms"/>
  </ds:schemaRefs>
</ds:datastoreItem>
</file>

<file path=customXml/itemProps4.xml><?xml version="1.0" encoding="utf-8"?>
<ds:datastoreItem xmlns:ds="http://schemas.openxmlformats.org/officeDocument/2006/customXml" ds:itemID="{3A987715-9A46-4446-94E7-C1CAC0AD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Great-Software-Laboratory-Word-Template (1)</Template>
  <TotalTime>1</TotalTime>
  <Pages>7</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Rairkar</dc:creator>
  <cp:keywords/>
  <dc:description/>
  <cp:lastModifiedBy>Gouri Mahendru</cp:lastModifiedBy>
  <cp:revision>2</cp:revision>
  <dcterms:created xsi:type="dcterms:W3CDTF">2023-03-23T07:27:00Z</dcterms:created>
  <dcterms:modified xsi:type="dcterms:W3CDTF">2023-03-23T07:27:00Z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